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6CB8" w14:textId="2F6A8509" w:rsidR="00520490" w:rsidRPr="00520490" w:rsidRDefault="00520490" w:rsidP="0072547F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520490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AU"/>
        </w:rPr>
        <w:drawing>
          <wp:inline distT="0" distB="0" distL="0" distR="0" wp14:anchorId="71269B01" wp14:editId="30903523">
            <wp:extent cx="16478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4820" w14:textId="41AFB16A" w:rsidR="00520490" w:rsidRPr="005E7456" w:rsidRDefault="00520490" w:rsidP="00565D48">
      <w:pPr>
        <w:spacing w:after="14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F178B3">
        <w:rPr>
          <w:rFonts w:ascii="Arial" w:eastAsia="Times New Roman" w:hAnsi="Arial" w:cs="Arial"/>
          <w:color w:val="000000" w:themeColor="text1"/>
          <w:lang w:eastAsia="en-AU"/>
        </w:rPr>
        <w:t>3</w:t>
      </w:r>
      <w:r w:rsidRPr="005E7456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th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December 2022</w:t>
      </w:r>
    </w:p>
    <w:p w14:paraId="51364697" w14:textId="52FBC373" w:rsidR="00520490" w:rsidRPr="005E7456" w:rsidRDefault="00520490" w:rsidP="00F42A3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To: Review Panel,</w:t>
      </w:r>
    </w:p>
    <w:p w14:paraId="2DE6A566" w14:textId="4F6CD0A5" w:rsidR="00F42A37" w:rsidRPr="005E7456" w:rsidRDefault="00F42A37" w:rsidP="00F42A37">
      <w:pPr>
        <w:spacing w:after="18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c/</w:t>
      </w:r>
      <w:proofErr w:type="gramStart"/>
      <w:r w:rsidRPr="005E7456">
        <w:rPr>
          <w:rFonts w:ascii="Arial" w:eastAsia="Times New Roman" w:hAnsi="Arial" w:cs="Arial"/>
          <w:color w:val="000000" w:themeColor="text1"/>
          <w:lang w:eastAsia="en-AU"/>
        </w:rPr>
        <w:t>-  Department</w:t>
      </w:r>
      <w:proofErr w:type="gramEnd"/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of Home Affairs</w:t>
      </w:r>
      <w:r w:rsidR="00366D4C">
        <w:rPr>
          <w:rFonts w:ascii="Arial" w:eastAsia="Times New Roman" w:hAnsi="Arial" w:cs="Arial"/>
          <w:color w:val="000000" w:themeColor="text1"/>
          <w:lang w:eastAsia="en-AU"/>
        </w:rPr>
        <w:t xml:space="preserve"> (DHA)</w:t>
      </w:r>
    </w:p>
    <w:p w14:paraId="397315B7" w14:textId="40F99664" w:rsidR="00520490" w:rsidRPr="005E7456" w:rsidRDefault="00520490" w:rsidP="00565D48">
      <w:pPr>
        <w:spacing w:after="140" w:line="240" w:lineRule="auto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b/>
          <w:bCs/>
          <w:color w:val="000000" w:themeColor="text1"/>
          <w:lang w:eastAsia="en-AU"/>
        </w:rPr>
        <w:t>Re: A Migration System for Australia’s Future</w:t>
      </w:r>
    </w:p>
    <w:p w14:paraId="24071C26" w14:textId="0B0A8400" w:rsidR="00520490" w:rsidRPr="005E7456" w:rsidRDefault="00520490" w:rsidP="00565D48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The Refugee Action Collective (Victoria) 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>RAC (Vic)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welcomes 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an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opportunity to 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contribute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to 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a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review of Australia’s Migration System. We are a</w:t>
      </w:r>
      <w:r w:rsidR="00854B12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non-profit, volunteer entity </w:t>
      </w:r>
      <w:r w:rsidR="00565D48" w:rsidRPr="005E7456">
        <w:rPr>
          <w:rFonts w:ascii="Arial" w:eastAsia="Times New Roman" w:hAnsi="Arial" w:cs="Arial"/>
          <w:color w:val="000000" w:themeColor="text1"/>
          <w:lang w:eastAsia="en-AU"/>
        </w:rPr>
        <w:t>–</w:t>
      </w:r>
      <w:r w:rsidR="00854B12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a 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democratic, grassroots collective that fights for the humane and dignified treatment of refugees and people seeking asylum </w:t>
      </w:r>
      <w:r w:rsidR="00436226" w:rsidRPr="005E7456">
        <w:rPr>
          <w:rFonts w:ascii="Arial" w:eastAsia="Times New Roman" w:hAnsi="Arial" w:cs="Arial"/>
          <w:color w:val="000000" w:themeColor="text1"/>
          <w:lang w:eastAsia="en-AU"/>
        </w:rPr>
        <w:t>in accordance with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Australia’s international and humanitarian obligations. </w:t>
      </w:r>
    </w:p>
    <w:p w14:paraId="20407CA4" w14:textId="68FE9D0C" w:rsidR="00EA225A" w:rsidRPr="001722FB" w:rsidRDefault="002208A4" w:rsidP="00436226">
      <w:pPr>
        <w:shd w:val="clear" w:color="auto" w:fill="FFFFFF"/>
        <w:adjustRightInd w:val="0"/>
        <w:snapToGrid w:val="0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1722FB">
        <w:rPr>
          <w:rFonts w:ascii="Arial" w:eastAsia="Times New Roman" w:hAnsi="Arial" w:cs="Arial"/>
          <w:color w:val="000000" w:themeColor="text1"/>
          <w:lang w:eastAsia="en-AU"/>
        </w:rPr>
        <w:t xml:space="preserve">Accordingly, we deplore the exclusion of most </w:t>
      </w:r>
      <w:r w:rsidR="006C533C" w:rsidRPr="001722FB">
        <w:rPr>
          <w:rFonts w:ascii="Arial" w:eastAsia="Times New Roman" w:hAnsi="Arial" w:cs="Arial"/>
          <w:color w:val="000000" w:themeColor="text1"/>
          <w:lang w:eastAsia="en-AU"/>
        </w:rPr>
        <w:t>refugee and asylum seeker</w:t>
      </w:r>
      <w:r w:rsidRPr="001722FB">
        <w:rPr>
          <w:rFonts w:ascii="Arial" w:eastAsia="Times New Roman" w:hAnsi="Arial" w:cs="Arial"/>
          <w:color w:val="000000" w:themeColor="text1"/>
          <w:lang w:eastAsia="en-AU"/>
        </w:rPr>
        <w:t xml:space="preserve"> issues from the scope of the review. </w:t>
      </w:r>
      <w:r w:rsidR="00031055" w:rsidRPr="001722FB">
        <w:rPr>
          <w:rFonts w:ascii="Arial" w:eastAsia="Times New Roman" w:hAnsi="Arial" w:cs="Arial"/>
          <w:color w:val="000000" w:themeColor="text1"/>
          <w:lang w:eastAsia="en-AU"/>
        </w:rPr>
        <w:t xml:space="preserve">Three </w:t>
      </w:r>
      <w:r w:rsidR="001722FB" w:rsidRPr="001722FB">
        <w:rPr>
          <w:rFonts w:ascii="Arial" w:eastAsia="Times New Roman" w:hAnsi="Arial" w:cs="Arial"/>
          <w:color w:val="000000" w:themeColor="text1"/>
          <w:lang w:eastAsia="en-AU"/>
        </w:rPr>
        <w:t xml:space="preserve">of the four </w:t>
      </w:r>
      <w:r w:rsidR="00EA225A" w:rsidRPr="001722FB">
        <w:rPr>
          <w:rFonts w:ascii="Arial" w:eastAsia="Times New Roman" w:hAnsi="Arial" w:cs="Arial"/>
          <w:color w:val="000000" w:themeColor="text1"/>
          <w:lang w:eastAsia="en-AU"/>
        </w:rPr>
        <w:t xml:space="preserve">Out of Scope items </w:t>
      </w:r>
      <w:r w:rsidR="00366D4C">
        <w:rPr>
          <w:rFonts w:ascii="Arial" w:eastAsia="Times New Roman" w:hAnsi="Arial" w:cs="Arial"/>
          <w:color w:val="000000" w:themeColor="text1"/>
          <w:lang w:eastAsia="en-AU"/>
        </w:rPr>
        <w:t>exclude</w:t>
      </w:r>
      <w:r w:rsidR="00EA225A" w:rsidRPr="001722FB">
        <w:rPr>
          <w:rFonts w:ascii="Arial" w:eastAsia="Times New Roman" w:hAnsi="Arial" w:cs="Arial"/>
          <w:color w:val="000000" w:themeColor="text1"/>
          <w:lang w:eastAsia="en-AU"/>
        </w:rPr>
        <w:t>:</w:t>
      </w:r>
    </w:p>
    <w:p w14:paraId="64FA54DA" w14:textId="308C0A40" w:rsidR="00EA225A" w:rsidRPr="005E7456" w:rsidRDefault="006C533C" w:rsidP="00436226">
      <w:pPr>
        <w:pStyle w:val="ListParagraph"/>
        <w:adjustRightInd w:val="0"/>
        <w:snapToGrid w:val="0"/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(a) </w:t>
      </w:r>
      <w:r w:rsidR="00F53CED" w:rsidRPr="005E7456">
        <w:rPr>
          <w:rFonts w:ascii="Arial" w:eastAsia="Times New Roman" w:hAnsi="Arial" w:cs="Arial"/>
          <w:color w:val="000000" w:themeColor="text1"/>
          <w:lang w:eastAsia="en-AU"/>
        </w:rPr>
        <w:tab/>
      </w:r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“all other [migration system] matters, specifically issues relevant to irregular migration and status resolution, regional processing and Operation Sovereign Borders</w:t>
      </w:r>
      <w:proofErr w:type="gramStart"/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”;</w:t>
      </w:r>
      <w:proofErr w:type="gramEnd"/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 </w:t>
      </w:r>
    </w:p>
    <w:p w14:paraId="72960EA7" w14:textId="784D84DF" w:rsidR="00EA225A" w:rsidRPr="005E7456" w:rsidRDefault="006C533C" w:rsidP="00436226">
      <w:pPr>
        <w:pStyle w:val="ListParagraph"/>
        <w:adjustRightInd w:val="0"/>
        <w:snapToGrid w:val="0"/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(b) </w:t>
      </w:r>
      <w:r w:rsidR="00F53CED" w:rsidRPr="005E7456">
        <w:rPr>
          <w:rFonts w:ascii="Arial" w:eastAsia="Times New Roman" w:hAnsi="Arial" w:cs="Arial"/>
          <w:color w:val="000000" w:themeColor="text1"/>
          <w:lang w:eastAsia="en-AU"/>
        </w:rPr>
        <w:tab/>
      </w:r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“functions and activities of the Australian Border Force</w:t>
      </w:r>
      <w:r w:rsidR="00366D4C">
        <w:rPr>
          <w:rFonts w:ascii="Arial" w:eastAsia="Times New Roman" w:hAnsi="Arial" w:cs="Arial"/>
          <w:color w:val="000000" w:themeColor="text1"/>
          <w:lang w:eastAsia="en-AU"/>
        </w:rPr>
        <w:t xml:space="preserve"> [ABF]</w:t>
      </w:r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, including but not limited to immigration compliance, removals and detention”; and</w:t>
      </w:r>
    </w:p>
    <w:p w14:paraId="01BD063F" w14:textId="72ED634E" w:rsidR="00EA225A" w:rsidRPr="005E7456" w:rsidRDefault="00F53CED" w:rsidP="00436226">
      <w:pPr>
        <w:pStyle w:val="ListParagraph"/>
        <w:adjustRightInd w:val="0"/>
        <w:snapToGrid w:val="0"/>
        <w:spacing w:after="6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="001722FB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6C533C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ab/>
      </w:r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“Public Interest Criteria required for approval of visas, including character, national security and health checking requirements”.</w:t>
      </w:r>
    </w:p>
    <w:p w14:paraId="7DCFF532" w14:textId="302F6260" w:rsidR="002208A4" w:rsidRPr="005E7456" w:rsidRDefault="000E30C9" w:rsidP="00565D4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The suffering caused</w:t>
      </w:r>
      <w:r w:rsidR="00436226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by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36226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Australia’s 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>refugee and asylum seeker</w:t>
      </w:r>
      <w:r w:rsidR="000A5AF6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policies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36226" w:rsidRPr="005E7456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well documented and ongoing. Excluding </w:t>
      </w:r>
      <w:r w:rsidR="00436226" w:rsidRPr="005E7456">
        <w:rPr>
          <w:rFonts w:ascii="Arial" w:eastAsia="Times New Roman" w:hAnsi="Arial" w:cs="Arial"/>
          <w:color w:val="000000" w:themeColor="text1"/>
          <w:lang w:eastAsia="en-AU"/>
        </w:rPr>
        <w:t>such issues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A225A" w:rsidRPr="005E7456">
        <w:rPr>
          <w:rFonts w:ascii="Arial" w:eastAsia="Times New Roman" w:hAnsi="Arial" w:cs="Arial"/>
          <w:color w:val="000000" w:themeColor="text1"/>
          <w:lang w:eastAsia="en-AU"/>
        </w:rPr>
        <w:t>hinders the reviewers from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recommending </w:t>
      </w:r>
      <w:r w:rsidR="000A5AF6" w:rsidRPr="005E7456">
        <w:rPr>
          <w:rFonts w:ascii="Arial" w:eastAsia="Times New Roman" w:hAnsi="Arial" w:cs="Arial"/>
          <w:color w:val="000000" w:themeColor="text1"/>
          <w:lang w:eastAsia="en-AU"/>
        </w:rPr>
        <w:t>vital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reforms.</w:t>
      </w:r>
    </w:p>
    <w:p w14:paraId="1E634B03" w14:textId="0193A9C4" w:rsidR="00436226" w:rsidRPr="005E7456" w:rsidRDefault="00520490" w:rsidP="00565D4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trike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color w:val="000000" w:themeColor="text1"/>
          <w:lang w:eastAsia="en-AU"/>
        </w:rPr>
        <w:t>Our submission provides a brief overview response to key issues in the Discussion Paper</w:t>
      </w:r>
      <w:r w:rsidR="002208A4"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, then 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>addresses the Terms of Reference (TORs)</w:t>
      </w:r>
      <w:r w:rsidR="002208A4" w:rsidRPr="005E7456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5E7456">
        <w:rPr>
          <w:rFonts w:ascii="Arial" w:eastAsia="Times New Roman" w:hAnsi="Arial" w:cs="Arial"/>
          <w:color w:val="000000" w:themeColor="text1"/>
          <w:lang w:eastAsia="en-AU"/>
        </w:rPr>
        <w:t xml:space="preserve"> both overall and individually.</w:t>
      </w:r>
    </w:p>
    <w:p w14:paraId="6689162C" w14:textId="77777777" w:rsidR="00C9269C" w:rsidRPr="005E7456" w:rsidRDefault="00C9269C" w:rsidP="00436226">
      <w:pPr>
        <w:spacing w:after="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005E74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EXECUTIVE SUMMARY</w:t>
      </w:r>
    </w:p>
    <w:p w14:paraId="56883B1F" w14:textId="5F29ED7F" w:rsidR="000A5AF6" w:rsidRPr="005E7456" w:rsidRDefault="000A5AF6" w:rsidP="00436226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5E7456">
        <w:rPr>
          <w:rFonts w:ascii="Arial" w:eastAsia="Times New Roman" w:hAnsi="Arial" w:cs="Arial"/>
          <w:b/>
          <w:bCs/>
          <w:color w:val="000000" w:themeColor="text1"/>
          <w:lang w:eastAsia="en-AU"/>
        </w:rPr>
        <w:t>Discussion Paper issues</w:t>
      </w:r>
    </w:p>
    <w:p w14:paraId="453AD027" w14:textId="24DDC003" w:rsidR="00520490" w:rsidRPr="008B5BFE" w:rsidRDefault="00520490" w:rsidP="006C533C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The Discussion Paper seeks urgent reforms to tackle (1) “critical skill and worker shortages” arising fr</w:t>
      </w:r>
      <w:r w:rsidR="00B842EE" w:rsidRPr="008B5BFE">
        <w:rPr>
          <w:rFonts w:ascii="Arial" w:eastAsia="Times New Roman" w:hAnsi="Arial" w:cs="Arial"/>
          <w:color w:val="000000" w:themeColor="text1"/>
          <w:lang w:eastAsia="en-AU"/>
        </w:rPr>
        <w:t>o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m</w:t>
      </w:r>
      <w:r w:rsidR="00B842E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factors including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“an ageing population and slowing population growth”. Reforms 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are needed to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(2) “make Australia … a welcoming destination”, (3) “strengthen relationships with our regional neighbours”, and (4) “unlock the potential contribution of all migrants”. </w:t>
      </w:r>
    </w:p>
    <w:p w14:paraId="7C504A2C" w14:textId="6A1C0356" w:rsidR="00520490" w:rsidRPr="008B5BFE" w:rsidRDefault="00520490" w:rsidP="00436226">
      <w:pPr>
        <w:spacing w:after="6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 xml:space="preserve">Our </w:t>
      </w:r>
      <w:r w:rsidR="000A5AF6"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 xml:space="preserve">overview </w:t>
      </w:r>
      <w:r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>response is</w:t>
      </w:r>
      <w:r w:rsidR="005C62FB"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 xml:space="preserve"> that:</w:t>
      </w:r>
    </w:p>
    <w:p w14:paraId="2F3A6A4E" w14:textId="3F4AF7A3" w:rsidR="00520490" w:rsidRPr="008B5BFE" w:rsidRDefault="00520490" w:rsidP="00436226">
      <w:pPr>
        <w:numPr>
          <w:ilvl w:val="0"/>
          <w:numId w:val="1"/>
        </w:numPr>
        <w:spacing w:after="6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increasing the current small humanitarian intake to 50,000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proofErr w:type="gramStart"/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>pa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including </w:t>
      </w:r>
      <w:r w:rsidR="00821CE4" w:rsidRPr="008B5BFE">
        <w:rPr>
          <w:rFonts w:ascii="Arial" w:eastAsia="Times New Roman" w:hAnsi="Arial" w:cs="Arial"/>
          <w:color w:val="000000" w:themeColor="text1"/>
          <w:lang w:eastAsia="en-AU"/>
        </w:rPr>
        <w:t>accepting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refugee</w:t>
      </w:r>
      <w:r w:rsidR="0072547F" w:rsidRPr="008B5BFE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821CE4" w:rsidRPr="008B5BFE">
        <w:rPr>
          <w:rFonts w:ascii="Arial" w:eastAsia="Times New Roman" w:hAnsi="Arial" w:cs="Arial"/>
          <w:color w:val="000000" w:themeColor="text1"/>
          <w:lang w:eastAsia="en-AU"/>
        </w:rPr>
        <w:t>held in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Indonesia</w:t>
      </w:r>
      <w:r w:rsidR="0072547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A56E4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="00821CE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thus </w:t>
      </w:r>
      <w:r w:rsidR="00EA56E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ending Australia’s </w:t>
      </w:r>
      <w:r w:rsidR="0072547F" w:rsidRPr="008B5BFE">
        <w:rPr>
          <w:rFonts w:ascii="Arial" w:eastAsia="Times New Roman" w:hAnsi="Arial" w:cs="Arial"/>
          <w:color w:val="000000" w:themeColor="text1"/>
          <w:lang w:eastAsia="en-AU"/>
        </w:rPr>
        <w:t>201</w:t>
      </w:r>
      <w:r w:rsidR="00EA56E4" w:rsidRPr="008B5BFE">
        <w:rPr>
          <w:rFonts w:ascii="Arial" w:eastAsia="Times New Roman" w:hAnsi="Arial" w:cs="Arial"/>
          <w:color w:val="000000" w:themeColor="text1"/>
          <w:lang w:eastAsia="en-AU"/>
        </w:rPr>
        <w:t>4 veto)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would substantially address (1)</w:t>
      </w:r>
      <w:r w:rsidR="00436226" w:rsidRPr="008B5BFE">
        <w:rPr>
          <w:rFonts w:ascii="Arial" w:eastAsia="Times New Roman" w:hAnsi="Arial" w:cs="Arial"/>
          <w:color w:val="000000" w:themeColor="text1"/>
          <w:sz w:val="11"/>
          <w:szCs w:val="11"/>
          <w:lang w:eastAsia="en-AU"/>
        </w:rPr>
        <w:t xml:space="preserve"> </w:t>
      </w:r>
      <w:r w:rsidR="00436226" w:rsidRPr="008B5BFE">
        <w:rPr>
          <w:rFonts w:ascii="Arial" w:eastAsia="Times New Roman" w:hAnsi="Arial" w:cs="Arial"/>
          <w:color w:val="000000" w:themeColor="text1"/>
          <w:lang w:eastAsia="en-AU"/>
        </w:rPr>
        <w:t>–</w:t>
      </w:r>
      <w:r w:rsidRPr="008B5BFE">
        <w:rPr>
          <w:rFonts w:ascii="Arial" w:eastAsia="Times New Roman" w:hAnsi="Arial" w:cs="Arial"/>
          <w:color w:val="000000" w:themeColor="text1"/>
          <w:sz w:val="13"/>
          <w:szCs w:val="13"/>
          <w:lang w:eastAsia="en-AU"/>
        </w:rPr>
        <w:t xml:space="preserve"> </w:t>
      </w:r>
      <w:r w:rsidR="000A5AF6" w:rsidRPr="008B5BFE">
        <w:rPr>
          <w:rFonts w:ascii="Arial" w:eastAsia="Times New Roman" w:hAnsi="Arial" w:cs="Arial"/>
          <w:color w:val="000000" w:themeColor="text1"/>
          <w:lang w:eastAsia="en-AU"/>
        </w:rPr>
        <w:t>(4)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</w:p>
    <w:p w14:paraId="5E771B9C" w14:textId="79F33428" w:rsidR="00520490" w:rsidRPr="008B5BFE" w:rsidRDefault="000A5AF6" w:rsidP="00565D48">
      <w:pPr>
        <w:numPr>
          <w:ilvl w:val="0"/>
          <w:numId w:val="1"/>
        </w:numPr>
        <w:spacing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g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iving work </w:t>
      </w:r>
      <w:r w:rsidR="00436226" w:rsidRPr="008B5BFE">
        <w:rPr>
          <w:rFonts w:ascii="Arial" w:eastAsia="Times New Roman" w:hAnsi="Arial" w:cs="Arial"/>
          <w:color w:val="000000" w:themeColor="text1"/>
          <w:lang w:eastAsia="en-AU"/>
        </w:rPr>
        <w:t>&amp;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study rights to all visa holders currently denied them would help address (4).  </w:t>
      </w:r>
    </w:p>
    <w:p w14:paraId="1EB76A1E" w14:textId="77777777" w:rsidR="006C533C" w:rsidRPr="008B5BFE" w:rsidRDefault="006C533C" w:rsidP="00436226">
      <w:pPr>
        <w:pStyle w:val="ListParagraph"/>
        <w:shd w:val="clear" w:color="auto" w:fill="FFFFFF"/>
        <w:adjustRightInd w:val="0"/>
        <w:snapToGrid w:val="0"/>
        <w:spacing w:after="100" w:line="240" w:lineRule="auto"/>
        <w:ind w:left="1134" w:hanging="113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Response to Terms of Reference (TORs)</w:t>
      </w:r>
    </w:p>
    <w:p w14:paraId="7D6EB904" w14:textId="579C0049" w:rsidR="006C533C" w:rsidRPr="008B5BFE" w:rsidRDefault="006C533C" w:rsidP="00436226">
      <w:pPr>
        <w:pStyle w:val="ListParagraph"/>
        <w:shd w:val="clear" w:color="auto" w:fill="FFFFFF"/>
        <w:spacing w:after="100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>Overall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we submit that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, if the review ignores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‘Out of Scope’ items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(a), (b) &amp; (d),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which 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>are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 significant proportion of the system’s ‘clients’, focus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 expenditure</w:t>
      </w:r>
      <w:r w:rsidR="00565D48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 can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>’t fully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address 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>6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7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TORs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. 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Reviewers must be 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>en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>able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to consider</w:t>
      </w:r>
      <w:r w:rsidR="004E55C5" w:rsidRPr="00196E3F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 xml:space="preserve"> </w:t>
      </w:r>
      <w:r w:rsidR="004E55C5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TOR-relevant aspects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of 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="004E55C5" w:rsidRPr="008B5BFE">
        <w:rPr>
          <w:rFonts w:ascii="Arial" w:eastAsia="Times New Roman" w:hAnsi="Arial" w:cs="Arial"/>
          <w:color w:val="000000" w:themeColor="text1"/>
          <w:lang w:eastAsia="en-AU"/>
        </w:rPr>
        <w:t>a), (b) &amp; (d)</w:t>
      </w:r>
      <w:r w:rsidR="00E70112"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58D20012" w14:textId="45BE713B" w:rsidR="002D5ABE" w:rsidRPr="008B5BFE" w:rsidRDefault="00520490" w:rsidP="00436226">
      <w:pPr>
        <w:snapToGrid w:val="0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>Individually, we s</w:t>
      </w:r>
      <w:r w:rsidR="00B842EE"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>ubmit</w:t>
      </w:r>
      <w:r w:rsidR="004E55C5" w:rsidRPr="008B5BFE">
        <w:rPr>
          <w:rFonts w:ascii="Arial" w:eastAsia="Times New Roman" w:hAnsi="Arial" w:cs="Arial"/>
          <w:color w:val="000000" w:themeColor="text1"/>
          <w:u w:val="single"/>
          <w:lang w:eastAsia="en-AU"/>
        </w:rPr>
        <w:t xml:space="preserve"> that</w:t>
      </w:r>
      <w:r w:rsidR="002D5AB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01E5F76F" w14:textId="45451FB3" w:rsidR="00120CB3" w:rsidRPr="008B5BFE" w:rsidRDefault="00520490" w:rsidP="002C2AEA">
      <w:pPr>
        <w:pStyle w:val="ListParagraph"/>
        <w:numPr>
          <w:ilvl w:val="0"/>
          <w:numId w:val="17"/>
        </w:numPr>
        <w:snapToGrid w:val="0"/>
        <w:spacing w:after="80" w:line="240" w:lineRule="auto"/>
        <w:ind w:left="426" w:hanging="284"/>
        <w:contextualSpacing w:val="0"/>
        <w:jc w:val="both"/>
        <w:rPr>
          <w:rFonts w:ascii="Arial" w:eastAsia="Times New Roman" w:hAnsi="Arial" w:cs="Arial"/>
          <w:color w:val="000000" w:themeColor="text1"/>
          <w:u w:val="single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TORs 1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, 2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&amp;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3</w:t>
      </w:r>
      <w:r w:rsidR="00B842E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CF5F12" w:rsidRPr="008B5BFE">
        <w:rPr>
          <w:rFonts w:ascii="Arial" w:eastAsia="Times New Roman" w:hAnsi="Arial" w:cs="Arial"/>
          <w:color w:val="000000" w:themeColor="text1"/>
          <w:lang w:eastAsia="en-AU"/>
        </w:rPr>
        <w:t>(enriching the economy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>/productivity</w:t>
      </w:r>
      <w:r w:rsidR="00CF5F12" w:rsidRPr="008B5BFE">
        <w:rPr>
          <w:rFonts w:ascii="Arial" w:eastAsia="Times New Roman" w:hAnsi="Arial" w:cs="Arial"/>
          <w:color w:val="000000" w:themeColor="text1"/>
          <w:lang w:eastAsia="en-AU"/>
        </w:rPr>
        <w:t>, augmenting education/skills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>/</w:t>
      </w:r>
      <w:r w:rsidR="00CF5F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training, unlocking </w:t>
      </w:r>
      <w:r w:rsidR="005B0E5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migrant </w:t>
      </w:r>
      <w:r w:rsidR="00CF5F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potential)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can</w:t>
      </w:r>
      <w:r w:rsidR="00CF5F12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 be fully achieved if many temporary visa holders remain prohibited from working and/or studying. </w:t>
      </w:r>
    </w:p>
    <w:p w14:paraId="1289104B" w14:textId="394D83BB" w:rsidR="00120CB3" w:rsidRPr="008B5BFE" w:rsidRDefault="00520490" w:rsidP="002C2AEA">
      <w:pPr>
        <w:pStyle w:val="ListParagraph"/>
        <w:numPr>
          <w:ilvl w:val="0"/>
          <w:numId w:val="17"/>
        </w:numPr>
        <w:snapToGrid w:val="0"/>
        <w:spacing w:after="80" w:line="240" w:lineRule="auto"/>
        <w:ind w:left="426" w:hanging="284"/>
        <w:contextualSpacing w:val="0"/>
        <w:jc w:val="both"/>
        <w:rPr>
          <w:rFonts w:ascii="Arial" w:eastAsia="Times New Roman" w:hAnsi="Arial" w:cs="Arial"/>
          <w:color w:val="000000" w:themeColor="text1"/>
          <w:u w:val="single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lastRenderedPageBreak/>
        <w:t>TOR 5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comprehensively “improving clients’ experience”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cannot occur while Australia continues to treat some people who tried to come here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 and in many cases are here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 with systemic, sometimes sociopathic cruelty</w:t>
      </w:r>
      <w:r w:rsidR="00F0615E" w:rsidRPr="008B5BFE">
        <w:rPr>
          <w:rFonts w:ascii="Arial" w:eastAsia="Times New Roman" w:hAnsi="Arial" w:cs="Arial"/>
          <w:color w:val="000000" w:themeColor="text1"/>
          <w:lang w:eastAsia="en-AU"/>
        </w:rPr>
        <w:t>: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for example</w:t>
      </w:r>
      <w:r w:rsidR="00F0615E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via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indefinite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mandatory detention.</w:t>
      </w:r>
    </w:p>
    <w:p w14:paraId="4612CCAF" w14:textId="2383F6F6" w:rsidR="00120CB3" w:rsidRPr="008B5BFE" w:rsidRDefault="00520490" w:rsidP="00501322">
      <w:pPr>
        <w:pStyle w:val="ListParagraph"/>
        <w:numPr>
          <w:ilvl w:val="0"/>
          <w:numId w:val="17"/>
        </w:numPr>
        <w:snapToGrid w:val="0"/>
        <w:spacing w:after="80" w:line="240" w:lineRule="auto"/>
        <w:ind w:left="426" w:right="-46" w:hanging="284"/>
        <w:contextualSpacing w:val="0"/>
        <w:jc w:val="both"/>
        <w:rPr>
          <w:rFonts w:ascii="Arial" w:eastAsia="Times New Roman" w:hAnsi="Arial" w:cs="Arial"/>
          <w:color w:val="000000" w:themeColor="text1"/>
          <w:u w:val="single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TOR 6 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(clear pathways to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permanent residence and citizenship</w:t>
      </w:r>
      <w:r w:rsidR="00042759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ending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migrant worker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exploitation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can’t be 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>fully</w:t>
      </w:r>
      <w:r w:rsidR="003D500C" w:rsidRPr="008B5BFE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 xml:space="preserve"> 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>achieved while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Out</w:t>
      </w:r>
      <w:r w:rsidRPr="008B5BFE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of</w:t>
      </w:r>
      <w:r w:rsidRPr="008B5BFE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Scope</w:t>
      </w:r>
      <w:r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items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(a)</w:t>
      </w:r>
      <w:r w:rsidR="002C2AEA" w:rsidRPr="008B5BFE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 </w:t>
      </w:r>
      <w:r w:rsidR="00501322" w:rsidRPr="008B5BFE">
        <w:rPr>
          <w:rFonts w:ascii="Arial" w:eastAsia="Times New Roman" w:hAnsi="Arial" w:cs="Arial"/>
          <w:color w:val="000000" w:themeColor="text1"/>
          <w:lang w:eastAsia="en-AU"/>
        </w:rPr>
        <w:t>&amp;</w:t>
      </w:r>
      <w:r w:rsidRPr="008B5BFE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 xml:space="preserve"> 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2C2AEA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="00501322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 </w:t>
      </w:r>
      <w:r w:rsidR="00501322" w:rsidRPr="008B5BFE">
        <w:rPr>
          <w:rFonts w:ascii="Arial" w:eastAsia="Times New Roman" w:hAnsi="Arial" w:cs="Arial"/>
          <w:color w:val="000000" w:themeColor="text1"/>
          <w:lang w:eastAsia="en-AU"/>
        </w:rPr>
        <w:t>some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Migration Act 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>provisions, remain in force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1A6B1D98" w14:textId="07A39D35" w:rsidR="00520490" w:rsidRPr="008B5BFE" w:rsidRDefault="00520490" w:rsidP="001130F4">
      <w:pPr>
        <w:pStyle w:val="ListParagraph"/>
        <w:numPr>
          <w:ilvl w:val="0"/>
          <w:numId w:val="17"/>
        </w:numPr>
        <w:adjustRightInd w:val="0"/>
        <w:snapToGrid w:val="0"/>
        <w:spacing w:line="240" w:lineRule="auto"/>
        <w:ind w:left="426" w:hanging="284"/>
        <w:contextualSpacing w:val="0"/>
        <w:jc w:val="both"/>
        <w:rPr>
          <w:rFonts w:ascii="Arial" w:eastAsia="Times New Roman" w:hAnsi="Arial" w:cs="Arial"/>
          <w:color w:val="000000" w:themeColor="text1"/>
          <w:u w:val="single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TOR 7 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(fostering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enhanced integration with our international friends and partners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>can’t be fully achieved while part of (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>) – the s</w:t>
      </w:r>
      <w:r w:rsidR="009F2D47" w:rsidRPr="008B5BFE">
        <w:rPr>
          <w:rFonts w:ascii="Arial" w:eastAsia="Times New Roman" w:hAnsi="Arial" w:cs="Arial"/>
          <w:color w:val="000000" w:themeColor="text1"/>
          <w:lang w:eastAsia="en-AU"/>
        </w:rPr>
        <w:t>ection</w:t>
      </w:r>
      <w:r w:rsidR="003D500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501 “character test” – remains in force</w:t>
      </w:r>
      <w:r w:rsidR="00120CB3"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 </w:t>
      </w:r>
    </w:p>
    <w:p w14:paraId="57CE5F77" w14:textId="77777777" w:rsidR="00C9269C" w:rsidRPr="008B5BFE" w:rsidRDefault="00C9269C" w:rsidP="008371FC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  <w:t>SUBMISSION</w:t>
      </w:r>
    </w:p>
    <w:p w14:paraId="1A5B159B" w14:textId="06BB3AE0" w:rsidR="00520490" w:rsidRPr="008B5BFE" w:rsidRDefault="00520490" w:rsidP="00C92381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Evidence </w:t>
      </w:r>
      <w:r w:rsidR="00042759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and</w:t>
      </w: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explanation supporting key elements of our submission </w:t>
      </w:r>
    </w:p>
    <w:p w14:paraId="11651DC0" w14:textId="669CB264" w:rsidR="0016011B" w:rsidRPr="008B5BFE" w:rsidRDefault="0016011B" w:rsidP="0016011B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1130F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5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points below explain two main issues: first, some of the review’s Out of Scope items are intrinsically relevant to some of the Task 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Scope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Terms of Reference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second, some parts of the existing migration </w:t>
      </w:r>
      <w:r w:rsidR="0053308E" w:rsidRPr="008B5BFE">
        <w:rPr>
          <w:rFonts w:ascii="Arial" w:eastAsia="Times New Roman" w:hAnsi="Arial" w:cs="Arial"/>
          <w:color w:val="000000" w:themeColor="text1"/>
          <w:lang w:eastAsia="en-AU"/>
        </w:rPr>
        <w:t>system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are obstacles to the reforms that the review calls for. </w:t>
      </w:r>
    </w:p>
    <w:p w14:paraId="166174C9" w14:textId="4105AA1C" w:rsidR="0016011B" w:rsidRPr="008B5BFE" w:rsidRDefault="0016011B" w:rsidP="00EE1E5D">
      <w:pPr>
        <w:pStyle w:val="ListParagraph"/>
        <w:numPr>
          <w:ilvl w:val="0"/>
          <w:numId w:val="26"/>
        </w:numPr>
        <w:spacing w:after="8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‘cannot be ignored’ importance of the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Out of Scope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items</w:t>
      </w:r>
      <w:r w:rsidR="00436226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(a), (b) and (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</w:p>
    <w:p w14:paraId="7898345D" w14:textId="0A4E8E05" w:rsidR="0016011B" w:rsidRPr="008B5BFE" w:rsidRDefault="0016011B" w:rsidP="001130F4">
      <w:pPr>
        <w:pStyle w:val="ListParagraph"/>
        <w:numPr>
          <w:ilvl w:val="0"/>
          <w:numId w:val="29"/>
        </w:numPr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We say that if the review totally ignores these items – which in combination constitute such a large proportion of the migration system's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‘clients’</w:t>
      </w:r>
      <w:r w:rsidR="00681564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focus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and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 expenditure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that they skew and distort the whole regime – it cannot properly address six of the seven Task </w:t>
      </w:r>
      <w:r w:rsidR="00E031DA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Scope</w:t>
      </w:r>
      <w:r w:rsidR="00E031DA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items</w:t>
      </w:r>
      <w:r w:rsidR="00E031DA" w:rsidRPr="008B5BFE">
        <w:rPr>
          <w:rFonts w:ascii="Arial" w:eastAsia="Times New Roman" w:hAnsi="Arial" w:cs="Arial"/>
          <w:color w:val="000000" w:themeColor="text1"/>
          <w:lang w:eastAsia="en-AU"/>
        </w:rPr>
        <w:t>, i.e., TORs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If the review is to accurately inform National Strategy, it needs to consider relevant aspects of 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(a), (b) and (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3C078F2B" w14:textId="7167CF62" w:rsidR="0016011B" w:rsidRPr="008B5BFE" w:rsidRDefault="0016011B" w:rsidP="001130F4">
      <w:pPr>
        <w:pStyle w:val="ListParagraph"/>
        <w:numPr>
          <w:ilvl w:val="0"/>
          <w:numId w:val="29"/>
        </w:numPr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to the proportion of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‘clients’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the Discussion Paper’s Table 1 (at p 9) shows that</w:t>
      </w:r>
      <w:r w:rsidR="009F2D47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of the 2,210,038 Temporary visa holders in Australia, 381,224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17.2%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are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 cohort that includes many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irregular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migration”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people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who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F2D4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thus 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belong to </w:t>
      </w:r>
      <w:proofErr w:type="gramStart"/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>Out of Scope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item </w:t>
      </w:r>
      <w:r w:rsidR="00C9269C" w:rsidRPr="008B5BFE">
        <w:rPr>
          <w:rFonts w:ascii="Arial" w:eastAsia="Times New Roman" w:hAnsi="Arial" w:cs="Arial"/>
          <w:color w:val="000000" w:themeColor="text1"/>
          <w:lang w:eastAsia="en-AU"/>
        </w:rPr>
        <w:t>(a)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6096483E" w14:textId="05E7931F" w:rsidR="0016011B" w:rsidRPr="008B5BFE" w:rsidRDefault="0016011B" w:rsidP="001130F4">
      <w:pPr>
        <w:pStyle w:val="ListParagraph"/>
        <w:numPr>
          <w:ilvl w:val="0"/>
          <w:numId w:val="29"/>
        </w:numPr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to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focus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, f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or five decades, media coverage of people coming or trying to come to Australia has concentrated mainly on vilification.</w:t>
      </w:r>
    </w:p>
    <w:p w14:paraId="24CF0AB2" w14:textId="6DD0EC7B" w:rsidR="0016011B" w:rsidRPr="008B5BFE" w:rsidRDefault="0016011B" w:rsidP="001130F4">
      <w:pPr>
        <w:pStyle w:val="ListParagraph"/>
        <w:numPr>
          <w:ilvl w:val="0"/>
          <w:numId w:val="29"/>
        </w:numPr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to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expenditure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9E44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C9269C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The Saturday Paper 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10/9/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2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detail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ed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Australia’s squandering of $9.65 billion on offshore processing. </w:t>
      </w:r>
      <w:r w:rsidR="004772A3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TSP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note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: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“[Morrison’s] last budget … allocated $482.5 m for offshore processing in 2022</w:t>
      </w:r>
      <w:r w:rsidR="001722FB" w:rsidRPr="008B5BFE">
        <w:rPr>
          <w:rFonts w:ascii="Arial" w:eastAsia="Times New Roman" w:hAnsi="Arial" w:cs="Arial"/>
          <w:color w:val="000000" w:themeColor="text1"/>
          <w:sz w:val="11"/>
          <w:szCs w:val="1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–</w:t>
      </w:r>
      <w:r w:rsidR="001722FB" w:rsidRPr="008B5BFE">
        <w:rPr>
          <w:rFonts w:ascii="Arial" w:eastAsia="Times New Roman" w:hAnsi="Arial" w:cs="Arial"/>
          <w:color w:val="000000" w:themeColor="text1"/>
          <w:sz w:val="11"/>
          <w:szCs w:val="1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23, 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…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[although] no</w:t>
      </w:r>
      <w:r w:rsidR="001722FB" w:rsidRPr="008B5BFE">
        <w:rPr>
          <w:rFonts w:ascii="Arial" w:eastAsia="Times New Roman" w:hAnsi="Arial" w:cs="Arial"/>
          <w:color w:val="000000" w:themeColor="text1"/>
          <w:lang w:eastAsia="en-AU"/>
        </w:rPr>
        <w:t>-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one has been sent for offshore processing since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2014”</w:t>
      </w:r>
      <w:r w:rsidR="00E360A9" w:rsidRPr="008B5BFE">
        <w:rPr>
          <w:rFonts w:ascii="Arial" w:eastAsia="Times New Roman" w:hAnsi="Arial" w:cs="Arial"/>
          <w:color w:val="000000" w:themeColor="text1"/>
          <w:lang w:eastAsia="en-AU"/>
        </w:rPr>
        <w:t>(!)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651B3620" w14:textId="1D61AA13" w:rsidR="00290C1C" w:rsidRPr="008B5BFE" w:rsidRDefault="0016011B" w:rsidP="002A2E19">
      <w:pPr>
        <w:pStyle w:val="ListParagraph"/>
        <w:numPr>
          <w:ilvl w:val="0"/>
          <w:numId w:val="29"/>
        </w:numPr>
        <w:adjustRightInd w:val="0"/>
        <w:snapToGrid w:val="0"/>
        <w:spacing w:after="140" w:line="240" w:lineRule="auto"/>
        <w:ind w:left="709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RAC (Vic) </w:t>
      </w:r>
      <w:r w:rsidR="00E360A9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notes 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that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>PNG’s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Manus Island 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>regional processing centre 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RPC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closed in October 2017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Nauru’s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has been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empty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since </w:t>
      </w:r>
      <w:r w:rsidR="009F2D47" w:rsidRPr="008B5BFE">
        <w:rPr>
          <w:rFonts w:ascii="Arial" w:eastAsia="Times New Roman" w:hAnsi="Arial" w:cs="Arial"/>
          <w:color w:val="000000" w:themeColor="text1"/>
          <w:lang w:eastAsia="en-AU"/>
        </w:rPr>
        <w:t>31/3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/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19 according to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DHA/ABF’s monthly statisti</w:t>
      </w:r>
      <w:r w:rsidR="000D7949" w:rsidRPr="008B5BFE">
        <w:rPr>
          <w:rFonts w:ascii="Arial" w:eastAsia="Times New Roman" w:hAnsi="Arial" w:cs="Arial"/>
          <w:color w:val="000000" w:themeColor="text1"/>
          <w:lang w:eastAsia="en-AU"/>
        </w:rPr>
        <w:t>cs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bulletins. So why is DHA negotiating 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(as </w:t>
      </w:r>
      <w:r w:rsidR="004772A3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TSP 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report</w:t>
      </w:r>
      <w:r w:rsidR="000D7949" w:rsidRPr="008B5BFE">
        <w:rPr>
          <w:rFonts w:ascii="Arial" w:eastAsia="Times New Roman" w:hAnsi="Arial" w:cs="Arial"/>
          <w:color w:val="000000" w:themeColor="text1"/>
          <w:lang w:eastAsia="en-AU"/>
        </w:rPr>
        <w:t>ed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 multi-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million dollar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contract with “US-based Management and Training Corporation”, for “facilities, garrison, transferee arrivals and reception services” </w:t>
      </w:r>
      <w:r w:rsidR="0050132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on Nauru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– when Nauru’s empty “facilities” need no “garrison”, and will see no “arrivals” requiring “reception services”?</w:t>
      </w:r>
    </w:p>
    <w:p w14:paraId="66491123" w14:textId="0A1B2174" w:rsidR="00520490" w:rsidRPr="008B5BFE" w:rsidRDefault="00520490" w:rsidP="003A7E08">
      <w:pPr>
        <w:pStyle w:val="ListParagraph"/>
        <w:numPr>
          <w:ilvl w:val="0"/>
          <w:numId w:val="26"/>
        </w:numPr>
        <w:adjustRightInd w:val="0"/>
        <w:snapToGrid w:val="0"/>
        <w:spacing w:after="14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Reforms called for by </w:t>
      </w: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TORs 1</w:t>
      </w:r>
      <w:r w:rsidR="00E034E7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, </w:t>
      </w: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2</w:t>
      </w:r>
      <w:r w:rsidR="00E034E7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&amp; 3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 </w:t>
      </w:r>
      <w:r w:rsidR="00E034E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(enriching the economy &amp; productivity; augmenting education/training/skills; unlocking migrant potential)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can</w:t>
      </w:r>
      <w:r w:rsidR="00E034E7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="00F26B08"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succeed while many holders of non-permanent visas</w:t>
      </w:r>
      <w:r w:rsidR="00F26B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including many in the </w:t>
      </w:r>
      <w:r w:rsidR="00F26B08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irregular migration and status resolution” cohort</w:t>
      </w:r>
      <w:r w:rsidR="00F26B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E034E7" w:rsidRPr="008B5BFE">
        <w:rPr>
          <w:rFonts w:ascii="Arial" w:eastAsia="Times New Roman" w:hAnsi="Arial" w:cs="Arial"/>
          <w:color w:val="000000" w:themeColor="text1"/>
          <w:lang w:eastAsia="en-AU"/>
        </w:rPr>
        <w:t>are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prohibited from working and/or studying.</w:t>
      </w:r>
      <w:r w:rsidR="00F26B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here 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also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needs to be a</w:t>
      </w:r>
      <w:r w:rsidR="0050132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much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simpler process for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recognising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overseas-obtained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qualification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5C48F963" w14:textId="220ED342" w:rsidR="00AF2E5F" w:rsidRPr="008B5BFE" w:rsidRDefault="00520490" w:rsidP="00407ACF">
      <w:pPr>
        <w:pStyle w:val="ListParagraph"/>
        <w:numPr>
          <w:ilvl w:val="0"/>
          <w:numId w:val="26"/>
        </w:numPr>
        <w:adjustRightInd w:val="0"/>
        <w:snapToGrid w:val="0"/>
        <w:spacing w:after="8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Comprehensively “improving clients’ experience”</w:t>
      </w:r>
      <w:r w:rsidR="006B416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</w:t>
      </w: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TOR 5</w:t>
      </w:r>
      <w:r w:rsidR="006B416D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can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occur while Australia 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>keeps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unfairly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treat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asylum seekers 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>who arrive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outside the humanitarian program 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>much less humanely than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those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>o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m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within 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>it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AF2E5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07ACF" w:rsidRPr="008B5BFE">
        <w:rPr>
          <w:rFonts w:ascii="Arial" w:eastAsia="Times New Roman" w:hAnsi="Arial" w:cs="Arial"/>
          <w:color w:val="000000" w:themeColor="text1"/>
          <w:lang w:eastAsia="en-AU"/>
        </w:rPr>
        <w:t>People and their capacity to contribute are damaged.</w:t>
      </w:r>
    </w:p>
    <w:p w14:paraId="2D50AC4B" w14:textId="38F6A9F0" w:rsidR="00E805CA" w:rsidRPr="008B5BFE" w:rsidRDefault="00407ACF" w:rsidP="00407ACF">
      <w:pPr>
        <w:pStyle w:val="ListParagraph"/>
        <w:numPr>
          <w:ilvl w:val="0"/>
          <w:numId w:val="35"/>
        </w:numPr>
        <w:adjustRightInd w:val="0"/>
        <w:snapToGrid w:val="0"/>
        <w:spacing w:after="8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M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andatory detention can last for decade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and, in a few cases, indefinitely (for life).</w:t>
      </w:r>
    </w:p>
    <w:p w14:paraId="2214BE0F" w14:textId="759A17BC" w:rsidR="00485ED0" w:rsidRPr="008B5BFE" w:rsidRDefault="000D7949" w:rsidP="001130F4">
      <w:pPr>
        <w:pStyle w:val="ListParagraph"/>
        <w:numPr>
          <w:ilvl w:val="0"/>
          <w:numId w:val="30"/>
        </w:numPr>
        <w:adjustRightInd w:val="0"/>
        <w:snapToGrid w:val="0"/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P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rolonged detention </w:t>
      </w:r>
      <w:r w:rsidR="00560F03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which</w:t>
      </w:r>
      <w:r w:rsidR="00560F0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breach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es</w:t>
      </w:r>
      <w:r w:rsidR="00560F0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Refugee Convention)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has severely damaged detainees’ mental health</w:t>
      </w:r>
      <w:r w:rsidR="00E034E7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impacting their ability to live a full life, </w:t>
      </w:r>
      <w:r w:rsidR="00560F03" w:rsidRPr="008B5BFE">
        <w:rPr>
          <w:rFonts w:ascii="Arial" w:eastAsia="Times New Roman" w:hAnsi="Arial" w:cs="Arial"/>
          <w:color w:val="000000" w:themeColor="text1"/>
          <w:lang w:eastAsia="en-AU"/>
        </w:rPr>
        <w:t>and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to work </w:t>
      </w:r>
      <w:r w:rsidR="00C3027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&amp;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study. Survivors of detention are recorded as being on high levels of psychotropic medication</w:t>
      </w:r>
      <w:r w:rsidR="00C3027F" w:rsidRPr="008B5BFE">
        <w:rPr>
          <w:rFonts w:ascii="Arial" w:eastAsia="Times New Roman" w:hAnsi="Arial" w:cs="Arial"/>
          <w:color w:val="000000" w:themeColor="text1"/>
          <w:lang w:eastAsia="en-AU"/>
        </w:rPr>
        <w:t>:</w:t>
      </w:r>
      <w:r w:rsidR="00E034E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they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experience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changed sleep patterns and impaired cognition.</w:t>
      </w:r>
    </w:p>
    <w:p w14:paraId="022E089D" w14:textId="32826CB8" w:rsidR="00407ACF" w:rsidRPr="008B5BFE" w:rsidRDefault="00366D4C" w:rsidP="00407ACF">
      <w:pPr>
        <w:pStyle w:val="ListParagraph"/>
        <w:numPr>
          <w:ilvl w:val="0"/>
          <w:numId w:val="30"/>
        </w:numPr>
        <w:adjustRightInd w:val="0"/>
        <w:snapToGrid w:val="0"/>
        <w:spacing w:after="80" w:line="240" w:lineRule="auto"/>
        <w:ind w:left="709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lastRenderedPageBreak/>
        <w:t>I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n 2019, the Migration Act’s ‘Medevac’ </w:t>
      </w:r>
      <w:r w:rsidR="00681564" w:rsidRPr="008B5BFE">
        <w:rPr>
          <w:rFonts w:ascii="Arial" w:eastAsia="Times New Roman" w:hAnsi="Arial" w:cs="Arial"/>
          <w:color w:val="000000" w:themeColor="text1"/>
          <w:lang w:eastAsia="en-AU"/>
        </w:rPr>
        <w:t>amendment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drafted to ensure that </w:t>
      </w:r>
      <w:r w:rsidR="00407ACF" w:rsidRPr="008B5BFE">
        <w:rPr>
          <w:rFonts w:ascii="Arial" w:eastAsia="Times New Roman" w:hAnsi="Arial" w:cs="Arial"/>
          <w:color w:val="000000" w:themeColor="text1"/>
          <w:lang w:eastAsia="en-AU"/>
        </w:rPr>
        <w:t>extremel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y ill offshore detainees airlifted to Australia receive specialist medical care</w:t>
      </w:r>
      <w:r w:rsidR="00485ED0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was sabotaged by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DHA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. How? It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ke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pt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all </w:t>
      </w:r>
      <w:r w:rsidR="00DB334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>192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transferees in </w:t>
      </w:r>
      <w:r w:rsidR="0053308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immigration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detention facilities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(IDFs)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where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its</w:t>
      </w:r>
      <w:r w:rsidR="00C3027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ABF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C3027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unit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denied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806F8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most of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them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access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to external specialist care</w:t>
      </w:r>
      <w:r w:rsidR="00A5210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– thereby further damaging their health</w:t>
      </w:r>
      <w:r w:rsidR="00795EF9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A5210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 further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reduc</w:t>
      </w:r>
      <w:r w:rsidR="00A52104" w:rsidRPr="008B5BF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their </w:t>
      </w:r>
      <w:r w:rsidR="00A52104" w:rsidRPr="008B5BFE">
        <w:rPr>
          <w:rFonts w:ascii="Arial" w:eastAsia="Times New Roman" w:hAnsi="Arial" w:cs="Arial"/>
          <w:color w:val="000000" w:themeColor="text1"/>
          <w:lang w:eastAsia="en-AU"/>
        </w:rPr>
        <w:t>abil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ity to contribute to society. </w:t>
      </w:r>
    </w:p>
    <w:p w14:paraId="78DD6250" w14:textId="081B1CE7" w:rsidR="00E805CA" w:rsidRPr="008B5BFE" w:rsidRDefault="00407ACF" w:rsidP="00407ACF">
      <w:pPr>
        <w:pStyle w:val="ListParagraph"/>
        <w:numPr>
          <w:ilvl w:val="0"/>
          <w:numId w:val="30"/>
        </w:numPr>
        <w:adjustRightInd w:val="0"/>
        <w:snapToGrid w:val="0"/>
        <w:spacing w:after="80" w:line="240" w:lineRule="auto"/>
        <w:ind w:left="709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In 2017</w:t>
      </w:r>
      <w:r w:rsidRPr="008B5BFE">
        <w:rPr>
          <w:rFonts w:ascii="Arial" w:eastAsia="Times New Roman" w:hAnsi="Arial" w:cs="Arial"/>
          <w:color w:val="000000" w:themeColor="text1"/>
          <w:sz w:val="10"/>
          <w:szCs w:val="10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–</w:t>
      </w:r>
      <w:r w:rsidRPr="008B5BFE">
        <w:rPr>
          <w:rFonts w:ascii="Arial" w:eastAsia="Times New Roman" w:hAnsi="Arial" w:cs="Arial"/>
          <w:color w:val="000000" w:themeColor="text1"/>
          <w:sz w:val="10"/>
          <w:szCs w:val="10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19, 8,000 forced inter-IDF transfers</w:t>
      </w:r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of (often handcuffed) detainees occurred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by air</w:t>
      </w:r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(M </w:t>
      </w:r>
      <w:proofErr w:type="spellStart"/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>Peterie</w:t>
      </w:r>
      <w:proofErr w:type="spellEnd"/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4317EA" w:rsidRPr="008B5BFE">
        <w:rPr>
          <w:rFonts w:ascii="Arial" w:eastAsia="Times New Roman" w:hAnsi="Arial" w:cs="Arial"/>
          <w:color w:val="000000" w:themeColor="text1"/>
          <w:sz w:val="13"/>
          <w:szCs w:val="13"/>
          <w:lang w:eastAsia="en-AU"/>
        </w:rPr>
        <w:t xml:space="preserve"> </w:t>
      </w:r>
      <w:r w:rsidR="004317EA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The Conversation,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>2/3/20)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4317EA" w:rsidRPr="008B5BFE">
        <w:rPr>
          <w:rFonts w:ascii="Arial" w:eastAsia="Times New Roman" w:hAnsi="Arial" w:cs="Arial"/>
          <w:color w:val="000000" w:themeColor="text1"/>
          <w:lang w:eastAsia="en-AU"/>
        </w:rPr>
        <w:t>averaging 6 transfers a year per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detainee.</w:t>
      </w:r>
    </w:p>
    <w:p w14:paraId="4E05EE7B" w14:textId="7C487989" w:rsidR="00E805CA" w:rsidRPr="008B5BFE" w:rsidRDefault="001130F4" w:rsidP="001130F4">
      <w:pPr>
        <w:pStyle w:val="ListParagraph"/>
        <w:numPr>
          <w:ilvl w:val="0"/>
          <w:numId w:val="30"/>
        </w:numPr>
        <w:adjustRightInd w:val="0"/>
        <w:snapToGrid w:val="0"/>
        <w:spacing w:line="240" w:lineRule="auto"/>
        <w:ind w:left="709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The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TOR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document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>says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that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“The migration system</w:t>
      </w:r>
      <w:r w:rsidR="00520490"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…</w:t>
      </w:r>
      <w:r w:rsidR="00520490"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[can] shape our international reputation”. Given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above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points</w:t>
      </w:r>
      <w:r w:rsidR="00A5210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(and others)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, our reputation is deeply shameful.</w:t>
      </w:r>
    </w:p>
    <w:p w14:paraId="5D1A993F" w14:textId="7431F8FC" w:rsidR="00E805CA" w:rsidRPr="008B5BFE" w:rsidRDefault="00520490" w:rsidP="00C92381">
      <w:pPr>
        <w:pStyle w:val="ListParagraph"/>
        <w:numPr>
          <w:ilvl w:val="0"/>
          <w:numId w:val="26"/>
        </w:numPr>
        <w:adjustRightInd w:val="0"/>
        <w:snapToGrid w:val="0"/>
        <w:spacing w:after="8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TOR</w:t>
      </w:r>
      <w:r w:rsidR="00E805CA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6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01438E" w:rsidRPr="008B5BFE">
        <w:rPr>
          <w:rFonts w:ascii="Arial" w:eastAsia="Times New Roman" w:hAnsi="Arial" w:cs="Arial"/>
          <w:color w:val="000000" w:themeColor="text1"/>
          <w:lang w:eastAsia="en-AU"/>
        </w:rPr>
        <w:t>seeks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reforms that “provide clear pathways to permanent residence and citizenship” and “reduce the exploitation of migrant workers”, but 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within excluded area (a) “irregular migration and status resolution”, policy and practice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continu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to do the opposite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RAC (Vic) </w:t>
      </w:r>
      <w:r w:rsidR="0079488B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is adamant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that </w:t>
      </w:r>
      <w:r w:rsidR="00497F84" w:rsidRPr="008B5BFE">
        <w:rPr>
          <w:rFonts w:ascii="Arial" w:eastAsia="Times New Roman" w:hAnsi="Arial" w:cs="Arial"/>
          <w:color w:val="000000" w:themeColor="text1"/>
          <w:lang w:eastAsia="en-AU"/>
        </w:rPr>
        <w:t>th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ose approaches</w:t>
      </w:r>
      <w:r w:rsidR="00497F8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must be </w:t>
      </w:r>
      <w:proofErr w:type="gramStart"/>
      <w:r w:rsidR="00497F84" w:rsidRPr="008B5BFE">
        <w:rPr>
          <w:rFonts w:ascii="Arial" w:eastAsia="Times New Roman" w:hAnsi="Arial" w:cs="Arial"/>
          <w:color w:val="000000" w:themeColor="text1"/>
          <w:lang w:eastAsia="en-AU"/>
        </w:rPr>
        <w:t>brought to an end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5E41FB85" w14:textId="0E1F3860" w:rsidR="00E805CA" w:rsidRPr="008B5BFE" w:rsidRDefault="00520490" w:rsidP="001130F4">
      <w:pPr>
        <w:pStyle w:val="ListParagraph"/>
        <w:numPr>
          <w:ilvl w:val="0"/>
          <w:numId w:val="31"/>
        </w:numPr>
        <w:adjustRightInd w:val="0"/>
        <w:snapToGrid w:val="0"/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to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clear pathways to permanent residence and citizenship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”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RAC (Vic) notes that, since 2014,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Safe Haven</w:t>
      </w:r>
      <w:proofErr w:type="gram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Enterprise Visas (SHEVs) have been available to refugees who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 xml:space="preserve">(a) </w:t>
      </w:r>
      <w:r w:rsidR="001130F4" w:rsidRPr="008B5BFE">
        <w:rPr>
          <w:rFonts w:ascii="Arial" w:eastAsia="Times New Roman" w:hAnsi="Arial" w:cs="Arial"/>
          <w:color w:val="000000" w:themeColor="text1"/>
          <w:lang w:eastAsia="en-AU"/>
        </w:rPr>
        <w:t>ca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me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>by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‘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irregular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means (boat) </w:t>
      </w:r>
      <w:r w:rsidR="001130F4" w:rsidRPr="008B5BFE">
        <w:rPr>
          <w:rFonts w:ascii="Arial" w:eastAsia="Times New Roman" w:hAnsi="Arial" w:cs="Arial"/>
          <w:color w:val="000000" w:themeColor="text1"/>
          <w:lang w:eastAsia="en-AU"/>
        </w:rPr>
        <w:t>before Rudd’s July 2013 edict that ‘you won’t be resettled here’,</w:t>
      </w:r>
      <w:r w:rsidR="00C3027F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and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 xml:space="preserve"> (b)</w:t>
      </w:r>
      <w:r w:rsidR="0001438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agreed to live and work in </w:t>
      </w:r>
      <w:r w:rsidR="0001438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regional area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Yet the inaugural announcement that SHEVs would give holders “a pathway to permanent residence” </w:t>
      </w:r>
      <w:r w:rsidR="001130F4" w:rsidRPr="008B5BFE">
        <w:rPr>
          <w:rFonts w:ascii="Arial" w:eastAsia="Times New Roman" w:hAnsi="Arial" w:cs="Arial"/>
          <w:color w:val="000000" w:themeColor="text1"/>
          <w:lang w:eastAsia="en-AU"/>
        </w:rPr>
        <w:t>was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 cruel hoax. As the ABC’s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7:30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program reported on 22/3/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2, “Just one in 13,000 refugees have been resettled … [via the SHEV] regional visa program”. </w:t>
      </w:r>
    </w:p>
    <w:p w14:paraId="4DCD5A7E" w14:textId="0C98895E" w:rsidR="00E805CA" w:rsidRPr="008B5BFE" w:rsidRDefault="00497F84" w:rsidP="001130F4">
      <w:pPr>
        <w:pStyle w:val="ListParagraph"/>
        <w:numPr>
          <w:ilvl w:val="0"/>
          <w:numId w:val="31"/>
        </w:numPr>
        <w:adjustRightInd w:val="0"/>
        <w:snapToGrid w:val="0"/>
        <w:spacing w:after="8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proofErr w:type="spell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Labor</w:t>
      </w:r>
      <w:proofErr w:type="spell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promised at the May 2022 election to make two non-permanent visas, temporary protection visas (TPVs) and SHEVs,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permanent.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>B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ut </w:t>
      </w:r>
      <w:proofErr w:type="spell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Labor</w:t>
      </w:r>
      <w:proofErr w:type="spellEnd"/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60F1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in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government has not yet done so. The review should call for th</w:t>
      </w:r>
      <w:r w:rsidR="0053308E" w:rsidRPr="008B5BFE">
        <w:rPr>
          <w:rFonts w:ascii="Arial" w:eastAsia="Times New Roman" w:hAnsi="Arial" w:cs="Arial"/>
          <w:color w:val="000000" w:themeColor="text1"/>
          <w:lang w:eastAsia="en-AU"/>
        </w:rPr>
        <w:t>at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promise to be fulfilled </w:t>
      </w:r>
      <w:r w:rsidR="005B34C0" w:rsidRPr="008B5BFE">
        <w:rPr>
          <w:rFonts w:ascii="Arial" w:eastAsia="Times New Roman" w:hAnsi="Arial" w:cs="Arial"/>
          <w:color w:val="000000" w:themeColor="text1"/>
          <w:lang w:eastAsia="en-AU"/>
        </w:rPr>
        <w:t>forthwith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7BB987D2" w14:textId="20C00C1A" w:rsidR="00520490" w:rsidRPr="008B5BFE" w:rsidRDefault="00520490" w:rsidP="00B13C4B">
      <w:pPr>
        <w:pStyle w:val="ListParagraph"/>
        <w:numPr>
          <w:ilvl w:val="0"/>
          <w:numId w:val="31"/>
        </w:numPr>
        <w:adjustRightInd w:val="0"/>
        <w:snapToGrid w:val="0"/>
        <w:spacing w:line="240" w:lineRule="auto"/>
        <w:ind w:left="709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to worker exploitation, RAC (Vic) notes that some current 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>system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elements</w:t>
      </w:r>
      <w:r w:rsidR="005B34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B34C0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are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caus</w:t>
      </w:r>
      <w:r w:rsidR="005B34C0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ing it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For example, </w:t>
      </w:r>
      <w:r w:rsidR="009162D5" w:rsidRPr="008B5BFE">
        <w:rPr>
          <w:rFonts w:ascii="Arial" w:eastAsia="Times New Roman" w:hAnsi="Arial" w:cs="Arial"/>
          <w:color w:val="000000" w:themeColor="text1"/>
          <w:lang w:eastAsia="en-AU"/>
        </w:rPr>
        <w:t>non-citizens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who receive miniscule financial support</w:t>
      </w:r>
      <w:r w:rsidR="009162D5" w:rsidRPr="008B5BFE">
        <w:rPr>
          <w:rFonts w:ascii="Arial" w:eastAsia="Times New Roman" w:hAnsi="Arial" w:cs="Arial"/>
          <w:color w:val="000000" w:themeColor="text1"/>
          <w:lang w:eastAsia="en-AU"/>
        </w:rPr>
        <w:t>, but hold a bridging visa that prohibits them from working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are impelled </w:t>
      </w:r>
      <w:r w:rsidR="00E1401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(by the need to survive)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to work unlawfully</w:t>
      </w:r>
      <w:r w:rsidR="00E1401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– whereupon they become extremely exploitable. </w:t>
      </w:r>
    </w:p>
    <w:p w14:paraId="179C7748" w14:textId="38360C10" w:rsidR="00520490" w:rsidRPr="008B5BFE" w:rsidRDefault="00520490" w:rsidP="005B6CC0">
      <w:pPr>
        <w:pStyle w:val="ListParagraph"/>
        <w:numPr>
          <w:ilvl w:val="0"/>
          <w:numId w:val="5"/>
        </w:numPr>
        <w:tabs>
          <w:tab w:val="clear" w:pos="720"/>
        </w:tabs>
        <w:adjustRightInd w:val="0"/>
        <w:snapToGrid w:val="0"/>
        <w:spacing w:after="80" w:line="240" w:lineRule="auto"/>
        <w:ind w:left="284" w:hanging="284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TOR 7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suggests fostering “enhanced integration (including peopl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with our international friends and partners”, but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Out of Scope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item 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>d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="005B34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– the character test – obstructs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this aim.</w:t>
      </w:r>
    </w:p>
    <w:p w14:paraId="19A07F81" w14:textId="61DA862D" w:rsidR="00E805CA" w:rsidRPr="008B5BFE" w:rsidRDefault="00520490" w:rsidP="005B6CC0">
      <w:pPr>
        <w:pStyle w:val="ListParagraph"/>
        <w:numPr>
          <w:ilvl w:val="0"/>
          <w:numId w:val="32"/>
        </w:numPr>
        <w:adjustRightInd w:val="0"/>
        <w:snapToGrid w:val="0"/>
        <w:spacing w:after="80" w:line="240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Non-citizens applying for a visa to enter Australia must satisfy the Migration Act’s section 501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character test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”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. Likewise, those who are here with a visa must not ‘fail’ section 501</w:t>
      </w:r>
      <w:r w:rsidR="007E2657" w:rsidRPr="008B5BFE">
        <w:rPr>
          <w:rFonts w:ascii="Arial" w:eastAsia="Times New Roman" w:hAnsi="Arial" w:cs="Arial"/>
          <w:color w:val="000000" w:themeColor="text1"/>
          <w:lang w:eastAsia="en-AU"/>
        </w:rPr>
        <w:t>: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if they do, their visa may be cancelled, they can be immediately placed in immigration detention and, later, in some instances, deported.</w:t>
      </w:r>
    </w:p>
    <w:p w14:paraId="074C011A" w14:textId="5EC26BBA" w:rsidR="00E805CA" w:rsidRPr="008B5BFE" w:rsidRDefault="00520490" w:rsidP="005B6CC0">
      <w:pPr>
        <w:pStyle w:val="ListParagraph"/>
        <w:numPr>
          <w:ilvl w:val="0"/>
          <w:numId w:val="32"/>
        </w:numPr>
        <w:adjustRightInd w:val="0"/>
        <w:snapToGrid w:val="0"/>
        <w:spacing w:after="80" w:line="240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Some of “our international friends and partners”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(Hong Kong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for example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criminalise protests. None of their convicted protestors can come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here because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section 501 denies entry to anyone with a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criminal history”, no matter how highly skilled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they are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and no matter how much their protesting proves that they share 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o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ur values”.</w:t>
      </w:r>
    </w:p>
    <w:p w14:paraId="19E90C34" w14:textId="66A44871" w:rsidR="00EE62D5" w:rsidRPr="008B5BFE" w:rsidRDefault="00520490" w:rsidP="005B6CC0">
      <w:pPr>
        <w:pStyle w:val="ListParagraph"/>
        <w:numPr>
          <w:ilvl w:val="0"/>
          <w:numId w:val="32"/>
        </w:numPr>
        <w:adjustRightInd w:val="0"/>
        <w:snapToGrid w:val="0"/>
        <w:spacing w:after="80" w:line="240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Much of the character test treats visa applicants like ‘enemy aliens’ – a potential threat to our community</w:t>
      </w:r>
      <w:r w:rsidR="003A7E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– whereas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review</w:t>
      </w:r>
      <w:r w:rsidR="003A7E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calls for </w:t>
      </w:r>
      <w:r w:rsidR="003A7E08" w:rsidRPr="008B5BFE">
        <w:rPr>
          <w:rFonts w:ascii="Arial" w:eastAsia="Times New Roman" w:hAnsi="Arial" w:cs="Arial"/>
          <w:color w:val="000000" w:themeColor="text1"/>
          <w:lang w:eastAsia="en-AU"/>
        </w:rPr>
        <w:t>an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inclusive approach that treats visa applicants as a welcome resource</w:t>
      </w:r>
      <w:r w:rsidR="003A7E0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– as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people who can </w:t>
      </w:r>
      <w:r w:rsidR="00E805CA" w:rsidRPr="008B5BFE">
        <w:rPr>
          <w:rFonts w:ascii="Arial" w:eastAsia="Times New Roman" w:hAnsi="Arial" w:cs="Arial"/>
          <w:color w:val="000000" w:themeColor="text1"/>
          <w:lang w:eastAsia="en-AU"/>
        </w:rPr>
        <w:t>enrich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our community. </w:t>
      </w:r>
    </w:p>
    <w:p w14:paraId="42392C03" w14:textId="6D93238E" w:rsidR="00520490" w:rsidRPr="008B5BFE" w:rsidRDefault="00520490" w:rsidP="00C67EE1">
      <w:pPr>
        <w:pStyle w:val="ListParagraph"/>
        <w:numPr>
          <w:ilvl w:val="0"/>
          <w:numId w:val="32"/>
        </w:numPr>
        <w:adjustRightInd w:val="0"/>
        <w:snapToGrid w:val="0"/>
        <w:spacing w:after="200" w:line="240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Further, 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>ections</w:t>
      </w:r>
      <w:r w:rsidR="00EE62D5" w:rsidRPr="008B5BFE">
        <w:rPr>
          <w:rFonts w:ascii="Arial" w:eastAsia="Times New Roman" w:hAnsi="Arial" w:cs="Arial"/>
          <w:color w:val="000000" w:themeColor="text1"/>
          <w:sz w:val="11"/>
          <w:szCs w:val="11"/>
          <w:lang w:eastAsia="en-AU"/>
        </w:rPr>
        <w:t xml:space="preserve"> 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116(3)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 xml:space="preserve">and 501 respectively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result in 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indefinite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detention of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some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non-citizens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 xml:space="preserve">who are 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charged with a serious crime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>but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 xml:space="preserve">are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found </w:t>
      </w:r>
      <w:r w:rsidR="005B6C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not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guilty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C7EFA">
        <w:rPr>
          <w:rFonts w:ascii="Arial" w:eastAsia="Times New Roman" w:hAnsi="Arial" w:cs="Arial"/>
          <w:color w:val="000000" w:themeColor="text1"/>
          <w:lang w:eastAsia="en-AU"/>
        </w:rPr>
        <w:t>and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all </w:t>
      </w:r>
      <w:r w:rsidR="0053308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un-deportable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non-citizens who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>, after being found guilty and sentenced to imprisonment,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have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served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their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time</w:t>
      </w:r>
      <w:r w:rsidR="00EE62D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  <w:r w:rsidR="005B34C0" w:rsidRPr="008B5BFE">
        <w:rPr>
          <w:rFonts w:ascii="Arial" w:eastAsia="Times New Roman" w:hAnsi="Arial" w:cs="Arial"/>
          <w:color w:val="000000" w:themeColor="text1"/>
          <w:lang w:eastAsia="en-AU"/>
        </w:rPr>
        <w:t>Ye</w:t>
      </w:r>
      <w:r w:rsidR="005B6CC0"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13C4B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all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citizens </w:t>
      </w:r>
      <w:r w:rsidR="005B6C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in 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>such</w:t>
      </w:r>
      <w:r w:rsidR="005B6C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situations are</w:t>
      </w:r>
      <w:r w:rsidR="00C67EE1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just</w:t>
      </w:r>
      <w:r w:rsidR="005B6CC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B6CC0"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>released into society</w:t>
      </w:r>
      <w:r w:rsidR="00376D28">
        <w:rPr>
          <w:rFonts w:ascii="Arial" w:eastAsia="Times New Roman" w:hAnsi="Arial" w:cs="Arial"/>
          <w:color w:val="000000" w:themeColor="text1"/>
          <w:lang w:eastAsia="en-AU"/>
        </w:rPr>
        <w:t xml:space="preserve"> – although there’s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no evidence that </w:t>
      </w:r>
      <w:r w:rsidR="00376D28">
        <w:rPr>
          <w:rFonts w:ascii="Arial" w:eastAsia="Times New Roman" w:hAnsi="Arial" w:cs="Arial"/>
          <w:color w:val="000000" w:themeColor="text1"/>
          <w:lang w:eastAsia="en-AU"/>
        </w:rPr>
        <w:t>they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are</w:t>
      </w:r>
      <w:r w:rsidR="00376D28">
        <w:rPr>
          <w:rFonts w:ascii="Arial" w:eastAsia="Times New Roman" w:hAnsi="Arial" w:cs="Arial"/>
          <w:color w:val="000000" w:themeColor="text1"/>
          <w:lang w:eastAsia="en-AU"/>
        </w:rPr>
        <w:t xml:space="preserve"> less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likely to re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-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offend than </w:t>
      </w:r>
      <w:r w:rsidR="00376D28">
        <w:rPr>
          <w:rFonts w:ascii="Arial" w:eastAsia="Times New Roman" w:hAnsi="Arial" w:cs="Arial"/>
          <w:color w:val="000000" w:themeColor="text1"/>
          <w:lang w:eastAsia="en-AU"/>
        </w:rPr>
        <w:t>non-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citizens.</w:t>
      </w:r>
    </w:p>
    <w:p w14:paraId="7F31E65F" w14:textId="73B75EE6" w:rsidR="00520490" w:rsidRPr="008B5BFE" w:rsidRDefault="00520490" w:rsidP="001130F4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RAC (Vic) Recommendations</w:t>
      </w:r>
    </w:p>
    <w:p w14:paraId="171747BD" w14:textId="2D412237" w:rsidR="008111F8" w:rsidRPr="008B5BFE" w:rsidRDefault="0025375F" w:rsidP="00B13C4B">
      <w:pPr>
        <w:pStyle w:val="ListParagraph"/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adjustRightInd w:val="0"/>
        <w:snapToGrid w:val="0"/>
        <w:spacing w:after="10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RAC (Vic) </w:t>
      </w:r>
      <w:r w:rsidR="00C230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recommends </w:t>
      </w:r>
      <w:r w:rsidR="009B30E7" w:rsidRPr="008B5BFE">
        <w:rPr>
          <w:rFonts w:ascii="Arial" w:eastAsia="Times New Roman" w:hAnsi="Arial" w:cs="Arial"/>
          <w:color w:val="000000" w:themeColor="text1"/>
          <w:lang w:eastAsia="en-AU"/>
        </w:rPr>
        <w:t>that</w:t>
      </w:r>
      <w:r w:rsidR="008111F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: </w:t>
      </w:r>
    </w:p>
    <w:p w14:paraId="1BCB9CE2" w14:textId="01D4DA27" w:rsidR="00AB4DED" w:rsidRPr="008B5BFE" w:rsidRDefault="008111F8" w:rsidP="005168A2">
      <w:pPr>
        <w:pStyle w:val="ListParagraph"/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lastRenderedPageBreak/>
        <w:t>(a)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ab/>
      </w:r>
      <w:r w:rsidR="00D105C2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review panel</w:t>
      </w:r>
      <w:r w:rsidR="00520490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="004772A3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members </w:t>
      </w:r>
      <w:r w:rsidR="00520490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write</w:t>
      </w:r>
      <w:r w:rsidR="00AB4DED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to</w:t>
      </w:r>
      <w:r w:rsidR="00520490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the Minister for Home Affairs seeking approval for the</w:t>
      </w:r>
      <w:r w:rsidR="004772A3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m</w:t>
      </w:r>
      <w:r w:rsidR="00520490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to consider any matter outside the Task (Scope) if, in their opinion, it is relevant to one or more of the </w:t>
      </w:r>
      <w:proofErr w:type="gramStart"/>
      <w:r w:rsidR="00520490"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TORs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 </w:t>
      </w:r>
    </w:p>
    <w:p w14:paraId="68DF5A02" w14:textId="7590FDA6" w:rsidR="00E1401C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all </w:t>
      </w:r>
      <w:r w:rsidR="00E1401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refugees and asylum seekers remaining in PNG or Nauru be brought here </w:t>
      </w:r>
      <w:proofErr w:type="gramStart"/>
      <w:r w:rsidR="00E1401C" w:rsidRPr="008B5BFE">
        <w:rPr>
          <w:rFonts w:ascii="Arial" w:eastAsia="Times New Roman" w:hAnsi="Arial" w:cs="Arial"/>
          <w:color w:val="000000" w:themeColor="text1"/>
          <w:lang w:eastAsia="en-AU"/>
        </w:rPr>
        <w:t>ASAP;</w:t>
      </w:r>
      <w:proofErr w:type="gramEnd"/>
    </w:p>
    <w:p w14:paraId="1CE63F9F" w14:textId="01EFD587" w:rsidR="009B30E7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migrants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receive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support and information in their own language regarding workers’ rights and employment law in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="008111F8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</w:p>
    <w:p w14:paraId="48237973" w14:textId="1A33C123" w:rsidR="009B30E7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all amendments to the Migration Act that inserted </w:t>
      </w:r>
      <w:r w:rsidR="00C0221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or further ‘strengthened’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sections 501 and 116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(and closely related provisions)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be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repealed</w:t>
      </w:r>
      <w:r w:rsidR="008111F8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</w:p>
    <w:p w14:paraId="13F6FD95" w14:textId="0D8C4CA7" w:rsidR="009B30E7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the Migration Act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’s Refugee Convention-based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defini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tion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of 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refugee</w:t>
      </w:r>
      <w:r w:rsidR="004772A3" w:rsidRPr="008B5BFE">
        <w:rPr>
          <w:rFonts w:ascii="Arial" w:eastAsia="Times New Roman" w:hAnsi="Arial" w:cs="Arial"/>
          <w:color w:val="000000" w:themeColor="text1"/>
          <w:lang w:eastAsia="en-AU"/>
        </w:rPr>
        <w:t>”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be extended to cover people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>forced to leave their country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due to </w:t>
      </w:r>
      <w:r w:rsidR="0028551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effects of climate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change</w:t>
      </w:r>
      <w:r w:rsidR="005B7750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</w:p>
    <w:p w14:paraId="056AF794" w14:textId="47D9000D" w:rsidR="009B30E7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all refugees and asylum seekers who arrive in Australia receive the humanitarian program</w:t>
      </w:r>
      <w:r w:rsidR="002F405C" w:rsidRPr="008B5BFE">
        <w:rPr>
          <w:rFonts w:ascii="Arial" w:eastAsia="Times New Roman" w:hAnsi="Arial" w:cs="Arial"/>
          <w:color w:val="000000" w:themeColor="text1"/>
          <w:lang w:eastAsia="en-AU"/>
        </w:rPr>
        <w:t>’s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level of support and benefits, even </w:t>
      </w:r>
      <w:r w:rsidR="00E3629C" w:rsidRPr="008B5BFE">
        <w:rPr>
          <w:rFonts w:ascii="Arial" w:eastAsia="Times New Roman" w:hAnsi="Arial" w:cs="Arial"/>
          <w:color w:val="000000" w:themeColor="text1"/>
          <w:lang w:eastAsia="en-AU"/>
        </w:rPr>
        <w:t>if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currently outside that </w:t>
      </w:r>
      <w:proofErr w:type="gram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program</w:t>
      </w:r>
      <w:r w:rsidR="005B7750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</w:p>
    <w:p w14:paraId="73A88FF3" w14:textId="56AB15E9" w:rsidR="009B30E7" w:rsidRPr="008B5BFE" w:rsidRDefault="009B30E7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Migration Act be amended to include a new Object, 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“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o ensure 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he successful resettlement of migrants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”, thereby making that aim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 key focus</w:t>
      </w:r>
      <w:r w:rsidR="005B7750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r w:rsidR="00C43AA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</w:t>
      </w:r>
    </w:p>
    <w:p w14:paraId="40680995" w14:textId="1F5FEC67" w:rsidR="005B7750" w:rsidRPr="008B5BFE" w:rsidRDefault="00C230B3" w:rsidP="005168A2">
      <w:pPr>
        <w:pStyle w:val="ListParagraph"/>
        <w:numPr>
          <w:ilvl w:val="0"/>
          <w:numId w:val="21"/>
        </w:numPr>
        <w:shd w:val="clear" w:color="auto" w:fill="FFFFFF"/>
        <w:adjustRightInd w:val="0"/>
        <w:snapToGrid w:val="0"/>
        <w:spacing w:after="4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p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ermanent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v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isas </w:t>
      </w:r>
      <w:r w:rsidR="005B7750" w:rsidRPr="008B5BFE">
        <w:rPr>
          <w:rFonts w:ascii="Arial" w:eastAsia="Times New Roman" w:hAnsi="Arial" w:cs="Arial"/>
          <w:color w:val="000000" w:themeColor="text1"/>
          <w:lang w:eastAsia="en-AU"/>
        </w:rPr>
        <w:t>be granted ASAP to the following non-citizens –</w:t>
      </w:r>
    </w:p>
    <w:p w14:paraId="2F549C7A" w14:textId="33483863" w:rsidR="005B7750" w:rsidRPr="008B5BFE" w:rsidRDefault="00ED631E" w:rsidP="004C7630">
      <w:pPr>
        <w:pStyle w:val="ListParagraph"/>
        <w:numPr>
          <w:ilvl w:val="2"/>
          <w:numId w:val="5"/>
        </w:numPr>
        <w:shd w:val="clear" w:color="auto" w:fill="FFFFFF"/>
        <w:adjustRightInd w:val="0"/>
        <w:snapToGrid w:val="0"/>
        <w:spacing w:after="40" w:line="240" w:lineRule="auto"/>
        <w:ind w:left="1418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refugee</w:t>
      </w:r>
      <w:r w:rsidR="004E1D0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s </w:t>
      </w:r>
      <w:r w:rsidR="00872A6C" w:rsidRPr="008B5BFE">
        <w:rPr>
          <w:rFonts w:ascii="Arial" w:eastAsia="Times New Roman" w:hAnsi="Arial" w:cs="Arial"/>
          <w:color w:val="000000" w:themeColor="text1"/>
          <w:lang w:eastAsia="en-AU"/>
        </w:rPr>
        <w:t>and</w:t>
      </w:r>
      <w:r w:rsidR="004E1D0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asylum seeker</w:t>
      </w:r>
      <w:r w:rsidR="004E1D07" w:rsidRPr="008B5BFE">
        <w:rPr>
          <w:rFonts w:ascii="Arial" w:eastAsia="Times New Roman" w:hAnsi="Arial" w:cs="Arial"/>
          <w:color w:val="000000" w:themeColor="text1"/>
          <w:lang w:eastAsia="en-AU"/>
        </w:rPr>
        <w:t>s denied justice by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unfair 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‘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>F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ast 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>T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rack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 </w:t>
      </w:r>
      <w:proofErr w:type="gramStart"/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system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proofErr w:type="gramEnd"/>
      <w:r w:rsidR="008111F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485ABDE5" w14:textId="5F747976" w:rsidR="005B7750" w:rsidRPr="008B5BFE" w:rsidRDefault="005B7750" w:rsidP="004C7630">
      <w:pPr>
        <w:pStyle w:val="ListParagraph"/>
        <w:numPr>
          <w:ilvl w:val="2"/>
          <w:numId w:val="5"/>
        </w:numPr>
        <w:shd w:val="clear" w:color="auto" w:fill="FFFFFF"/>
        <w:adjustRightInd w:val="0"/>
        <w:snapToGrid w:val="0"/>
        <w:spacing w:after="40" w:line="240" w:lineRule="auto"/>
        <w:ind w:left="1418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all those who were</w:t>
      </w:r>
      <w:r w:rsidR="004E1D0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or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are detained in Australia, Nauru</w:t>
      </w:r>
      <w:r w:rsidR="00F0615E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F0615E" w:rsidRPr="008B5BFE">
        <w:rPr>
          <w:rFonts w:ascii="Arial" w:eastAsia="Times New Roman" w:hAnsi="Arial" w:cs="Arial"/>
          <w:color w:val="000000" w:themeColor="text1"/>
          <w:lang w:eastAsia="en-AU"/>
        </w:rPr>
        <w:t>or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PNG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0A8707B1" w14:textId="321935E6" w:rsidR="00941EED" w:rsidRPr="008B5BFE" w:rsidRDefault="008111F8" w:rsidP="004C7630">
      <w:pPr>
        <w:pStyle w:val="ListParagraph"/>
        <w:numPr>
          <w:ilvl w:val="2"/>
          <w:numId w:val="5"/>
        </w:numPr>
        <w:shd w:val="clear" w:color="auto" w:fill="FFFFFF"/>
        <w:adjustRightInd w:val="0"/>
        <w:snapToGrid w:val="0"/>
        <w:spacing w:after="40" w:line="240" w:lineRule="auto"/>
        <w:ind w:left="1418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those on </w:t>
      </w:r>
      <w:r w:rsidR="005B775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TPVs, SHEVs, 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and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Bridging Vi</w:t>
      </w:r>
      <w:r w:rsidR="00A8576E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as</w:t>
      </w:r>
      <w:r w:rsidR="00C230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40A331D0" w14:textId="416466CE" w:rsidR="00520490" w:rsidRPr="008B5BFE" w:rsidRDefault="005B7750" w:rsidP="005B7750">
      <w:pPr>
        <w:pStyle w:val="ListParagraph"/>
        <w:shd w:val="clear" w:color="auto" w:fill="FFFFFF"/>
        <w:adjustRightInd w:val="0"/>
        <w:snapToGrid w:val="0"/>
        <w:spacing w:after="120" w:line="240" w:lineRule="auto"/>
        <w:ind w:left="851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–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so that they can fully contribute.</w:t>
      </w:r>
    </w:p>
    <w:p w14:paraId="0433DF94" w14:textId="7BB7349B" w:rsidR="005B7750" w:rsidRPr="008B5BFE" w:rsidRDefault="005B7750" w:rsidP="00B13C4B">
      <w:pPr>
        <w:pStyle w:val="ListParagraph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djustRightInd w:val="0"/>
        <w:snapToGrid w:val="0"/>
        <w:spacing w:after="100" w:line="240" w:lineRule="auto"/>
        <w:ind w:left="284" w:right="-46" w:hanging="284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RAC (Vic) recommends the following substantial reforms.</w:t>
      </w:r>
    </w:p>
    <w:p w14:paraId="1CE8AE06" w14:textId="3A5742EB" w:rsidR="00D105C2" w:rsidRPr="008B5BFE" w:rsidRDefault="00D105C2" w:rsidP="00522FB8">
      <w:pPr>
        <w:pStyle w:val="ListParagraph"/>
        <w:numPr>
          <w:ilvl w:val="3"/>
          <w:numId w:val="5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>Ending mandatory and indefinite detention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>, by repealing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 long list of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168A2" w:rsidRPr="008B5BFE">
        <w:rPr>
          <w:rFonts w:ascii="Arial" w:eastAsia="Times New Roman" w:hAnsi="Arial" w:cs="Arial"/>
          <w:color w:val="000000" w:themeColor="text1"/>
          <w:lang w:eastAsia="en-AU"/>
        </w:rPr>
        <w:t>Migration Act amendments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5E7456" w:rsidRPr="008B5BFE">
        <w:rPr>
          <w:rFonts w:ascii="Arial" w:eastAsia="Times New Roman" w:hAnsi="Arial" w:cs="Arial"/>
          <w:color w:val="000000" w:themeColor="text1"/>
          <w:lang w:eastAsia="en-AU"/>
        </w:rPr>
        <w:t>e.g.,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</w:t>
      </w:r>
      <w:r w:rsidRPr="008B5BFE">
        <w:rPr>
          <w:rFonts w:ascii="Arial" w:eastAsia="Times New Roman" w:hAnsi="Arial" w:cs="Arial"/>
          <w:i/>
          <w:iCs/>
          <w:color w:val="000000" w:themeColor="text1"/>
          <w:lang w:eastAsia="en-AU"/>
        </w:rPr>
        <w:t xml:space="preserve">Migration Amendment (Clarifying International Obligations for Removal) Act 2021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(</w:t>
      </w:r>
      <w:proofErr w:type="spellStart"/>
      <w:r w:rsidRPr="008B5BFE">
        <w:rPr>
          <w:rFonts w:ascii="Arial" w:eastAsia="Times New Roman" w:hAnsi="Arial" w:cs="Arial"/>
          <w:color w:val="000000" w:themeColor="text1"/>
          <w:lang w:eastAsia="en-AU"/>
        </w:rPr>
        <w:t>Cth</w:t>
      </w:r>
      <w:proofErr w:type="spellEnd"/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)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>. It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entrenched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detention for life of all un-deportable </w:t>
      </w:r>
      <w:r w:rsidR="005E7456" w:rsidRPr="008B5BFE">
        <w:rPr>
          <w:rFonts w:ascii="Arial" w:eastAsia="Times New Roman" w:hAnsi="Arial" w:cs="Arial"/>
          <w:color w:val="000000" w:themeColor="text1"/>
          <w:lang w:eastAsia="en-AU"/>
        </w:rPr>
        <w:t>offender detainees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, including those who are un-deportable only because they</w:t>
      </w:r>
      <w:r w:rsidR="004C763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stateless.</w:t>
      </w:r>
    </w:p>
    <w:p w14:paraId="3CEFB022" w14:textId="4ACEC68C" w:rsidR="00D105C2" w:rsidRPr="008B5BFE" w:rsidRDefault="00C230B3" w:rsidP="00522FB8">
      <w:pPr>
        <w:pStyle w:val="ListParagraph"/>
        <w:numPr>
          <w:ilvl w:val="3"/>
          <w:numId w:val="5"/>
        </w:numPr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Ending </w:t>
      </w:r>
      <w:r w:rsidR="00E447B3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other </w:t>
      </w:r>
      <w:r w:rsidR="00784401">
        <w:rPr>
          <w:rFonts w:ascii="Arial" w:eastAsia="Times New Roman" w:hAnsi="Arial" w:cs="Arial"/>
          <w:color w:val="000000" w:themeColor="text1"/>
          <w:lang w:eastAsia="en-AU"/>
        </w:rPr>
        <w:t>cruel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policies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784401">
        <w:rPr>
          <w:rFonts w:ascii="Arial" w:eastAsia="Times New Roman" w:hAnsi="Arial" w:cs="Arial"/>
          <w:color w:val="000000" w:themeColor="text1"/>
          <w:lang w:eastAsia="en-AU"/>
        </w:rPr>
        <w:t>e.g.,</w:t>
      </w:r>
      <w:r w:rsidR="00D105C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regional processing;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Morrison’s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2014 ban on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taking 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UNHCR-determined refugees </w:t>
      </w:r>
      <w:r w:rsidR="00821CE4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held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in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Indonesia</w:t>
      </w:r>
      <w:r w:rsidR="00784401">
        <w:rPr>
          <w:rFonts w:ascii="Arial" w:eastAsia="Times New Roman" w:hAnsi="Arial" w:cs="Arial"/>
          <w:color w:val="000000" w:themeColor="text1"/>
          <w:lang w:eastAsia="en-AU"/>
        </w:rPr>
        <w:t xml:space="preserve"> (now totalling 14,000)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;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 boat turn-backs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  <w:r w:rsidR="00821CE4" w:rsidRPr="008B5BFE">
        <w:rPr>
          <w:rFonts w:ascii="Arial" w:eastAsia="Times New Roman" w:hAnsi="Arial" w:cs="Arial"/>
          <w:color w:val="000000" w:themeColor="text1"/>
          <w:lang w:eastAsia="en-AU"/>
        </w:rPr>
        <w:t>The Nauru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RPC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must be closed, and the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humanitarian intake increased to 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at least 50,000 </w:t>
      </w:r>
      <w:proofErr w:type="gramStart"/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p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a</w:t>
      </w:r>
      <w:proofErr w:type="gramEnd"/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D105C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To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>regain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its international reputation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Australia must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comply with its human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rights obligations</w:t>
      </w:r>
      <w:r w:rsidR="00580DEF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</w:t>
      </w:r>
      <w:r w:rsidR="00DB3345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end the ‘newcomers as threat’ approach that has long distorted migration policy</w:t>
      </w:r>
      <w:r w:rsidR="00DB3345"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="00DB3345" w:rsidRPr="008B5BFE">
        <w:rPr>
          <w:rFonts w:ascii="Arial" w:eastAsia="Times New Roman" w:hAnsi="Arial" w:cs="Arial"/>
          <w:color w:val="000000" w:themeColor="text1"/>
          <w:lang w:eastAsia="en-AU"/>
        </w:rPr>
        <w:t>–</w:t>
      </w:r>
      <w:r w:rsidR="00DB3345" w:rsidRPr="008B5B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</w:t>
      </w:r>
      <w:r w:rsidR="00DB3345" w:rsidRPr="008B5BFE">
        <w:rPr>
          <w:rFonts w:ascii="Arial" w:eastAsia="Times New Roman" w:hAnsi="Arial" w:cs="Arial"/>
          <w:color w:val="000000" w:themeColor="text1"/>
          <w:lang w:eastAsia="en-AU"/>
        </w:rPr>
        <w:t>by</w:t>
      </w:r>
      <w:r w:rsidR="00941EED"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restor</w:t>
      </w:r>
      <w:r w:rsidR="00DB3345" w:rsidRPr="008B5BF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="00941EED" w:rsidRPr="008B5BFE">
        <w:rPr>
          <w:rFonts w:ascii="Arial" w:eastAsia="Times New Roman" w:hAnsi="Arial" w:cs="Arial"/>
          <w:color w:val="000000" w:themeColor="text1"/>
          <w:sz w:val="18"/>
          <w:szCs w:val="18"/>
          <w:lang w:eastAsia="en-AU"/>
        </w:rPr>
        <w:t xml:space="preserve">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immigration’s 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traditional nation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-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>building focus.</w:t>
      </w:r>
    </w:p>
    <w:p w14:paraId="188FE7E7" w14:textId="09E599F3" w:rsidR="00E447B3" w:rsidRPr="008B5BFE" w:rsidRDefault="005B7750" w:rsidP="00522FB8">
      <w:pPr>
        <w:pStyle w:val="ListParagraph"/>
        <w:shd w:val="clear" w:color="auto" w:fill="FFFFFF"/>
        <w:adjustRightInd w:val="0"/>
        <w:snapToGrid w:val="0"/>
        <w:spacing w:after="10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(c)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ab/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Drastically simplifying the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complex and cumbersome visa syste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>m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941EED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so </w:t>
      </w:r>
      <w:r w:rsidR="008371FC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that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Australia 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can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benefit from all categories of newcomers including asylum seekers and refugees. We urge the review to recommend removal of the Migration Act’s many visa-related restrictions and prohibitions that deny non-citizens access to </w:t>
      </w:r>
      <w:r w:rsidR="005A12B6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“clear pathway</w:t>
      </w:r>
      <w:r w:rsidR="005E7456" w:rsidRPr="008B5BFE">
        <w:rPr>
          <w:rFonts w:ascii="Arial" w:eastAsia="Times New Roman" w:hAnsi="Arial" w:cs="Arial"/>
          <w:color w:val="000000" w:themeColor="text1"/>
          <w:lang w:eastAsia="en-AU"/>
        </w:rPr>
        <w:t>”.</w:t>
      </w:r>
    </w:p>
    <w:p w14:paraId="535F5CEB" w14:textId="4E7F0B1E" w:rsidR="001A0A27" w:rsidRPr="008B5BFE" w:rsidRDefault="008371FC" w:rsidP="00FB3BE6">
      <w:pPr>
        <w:pStyle w:val="ListParagraph"/>
        <w:numPr>
          <w:ilvl w:val="0"/>
          <w:numId w:val="34"/>
        </w:numPr>
        <w:shd w:val="clear" w:color="auto" w:fill="FFFFFF"/>
        <w:adjustRightInd w:val="0"/>
        <w:snapToGrid w:val="0"/>
        <w:spacing w:after="12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 pro-active, constant </w:t>
      </w:r>
      <w:r w:rsidR="00AB5A9E" w:rsidRPr="008B5BFE">
        <w:rPr>
          <w:rFonts w:ascii="Arial" w:eastAsia="Times New Roman" w:hAnsi="Arial" w:cs="Arial"/>
          <w:color w:val="000000" w:themeColor="text1"/>
          <w:lang w:eastAsia="en-AU"/>
        </w:rPr>
        <w:t>G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overnment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campaign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promot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the benefits and strengths of refugees and people seeking asylum. For far too long, governments have vilified </w:t>
      </w:r>
      <w:r w:rsidR="00784401" w:rsidRPr="008B5BFE">
        <w:rPr>
          <w:rFonts w:ascii="Arial" w:eastAsia="Times New Roman" w:hAnsi="Arial" w:cs="Arial"/>
          <w:color w:val="000000" w:themeColor="text1"/>
          <w:lang w:eastAsia="en-AU"/>
        </w:rPr>
        <w:t>asylum seekers</w:t>
      </w:r>
      <w:r w:rsidR="00F178B3">
        <w:rPr>
          <w:rFonts w:ascii="Arial" w:eastAsia="Times New Roman" w:hAnsi="Arial" w:cs="Arial"/>
          <w:color w:val="000000" w:themeColor="text1"/>
          <w:lang w:eastAsia="en-AU"/>
        </w:rPr>
        <w:t>, even refugees</w:t>
      </w:r>
      <w:r w:rsidR="00522FB8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creating</w:t>
      </w:r>
      <w:r w:rsidR="00784401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F178B3">
        <w:rPr>
          <w:rFonts w:ascii="Arial" w:eastAsia="Times New Roman" w:hAnsi="Arial" w:cs="Arial"/>
          <w:color w:val="000000" w:themeColor="text1"/>
          <w:lang w:eastAsia="en-AU"/>
        </w:rPr>
        <w:t xml:space="preserve">an atmosphere of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fear and suspicion. If</w:t>
      </w:r>
      <w:r w:rsidR="00F178B3">
        <w:rPr>
          <w:rFonts w:ascii="Arial" w:eastAsia="Times New Roman" w:hAnsi="Arial" w:cs="Arial"/>
          <w:color w:val="000000" w:themeColor="text1"/>
          <w:lang w:eastAsia="en-AU"/>
        </w:rPr>
        <w:t xml:space="preserve">, </w:t>
      </w:r>
      <w:r w:rsidR="00A72F12" w:rsidRPr="008B5BFE">
        <w:rPr>
          <w:rFonts w:ascii="Arial" w:eastAsia="Times New Roman" w:hAnsi="Arial" w:cs="Arial"/>
          <w:color w:val="000000" w:themeColor="text1"/>
          <w:lang w:eastAsia="en-AU"/>
        </w:rPr>
        <w:t>as the Discussion Paper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suggests</w:t>
      </w:r>
      <w:r w:rsidR="00F178B3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A72F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we are to develop a </w:t>
      </w:r>
      <w:r w:rsidR="00E17F1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truly 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>“new strategic approach that reflects Australia’s values as a diverse, welcoming and fair society”, we must end the vilification</w:t>
      </w:r>
      <w:r w:rsidR="002F405C" w:rsidRPr="008B5BF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="00520490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and embrace whole-heartedly those who seek protection here. </w:t>
      </w:r>
    </w:p>
    <w:p w14:paraId="4EF8D30C" w14:textId="01D8A577" w:rsidR="00A72F12" w:rsidRPr="008B5BFE" w:rsidRDefault="005E7456" w:rsidP="00C92381">
      <w:pPr>
        <w:spacing w:after="8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b/>
          <w:bCs/>
          <w:color w:val="000000" w:themeColor="text1"/>
          <w:lang w:eastAsia="en-AU"/>
        </w:rPr>
        <w:t>In conclusion</w:t>
      </w:r>
    </w:p>
    <w:p w14:paraId="2290719F" w14:textId="370AF3A6" w:rsidR="00520490" w:rsidRPr="005E7456" w:rsidRDefault="00520490" w:rsidP="006B416D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lang w:eastAsia="en-AU"/>
        </w:rPr>
      </w:pP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As the Discussion </w:t>
      </w:r>
      <w:r w:rsidR="001A0A27" w:rsidRPr="008B5BFE">
        <w:rPr>
          <w:rFonts w:ascii="Arial" w:eastAsia="Times New Roman" w:hAnsi="Arial" w:cs="Arial"/>
          <w:color w:val="000000" w:themeColor="text1"/>
          <w:lang w:eastAsia="en-AU"/>
        </w:rPr>
        <w:t>P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aper s</w:t>
      </w:r>
      <w:r w:rsidR="00806F82" w:rsidRPr="008B5BFE">
        <w:rPr>
          <w:rFonts w:ascii="Arial" w:eastAsia="Times New Roman" w:hAnsi="Arial" w:cs="Arial"/>
          <w:color w:val="000000" w:themeColor="text1"/>
          <w:lang w:eastAsia="en-AU"/>
        </w:rPr>
        <w:t>ay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s, “migration is essential to the modern Australian story”. </w:t>
      </w:r>
      <w:r w:rsidR="001A0A27" w:rsidRPr="008B5BFE">
        <w:rPr>
          <w:rFonts w:ascii="Arial" w:eastAsia="Times New Roman" w:hAnsi="Arial" w:cs="Arial"/>
          <w:color w:val="000000" w:themeColor="text1"/>
          <w:lang w:eastAsia="en-AU"/>
        </w:rPr>
        <w:t>There</w:t>
      </w:r>
      <w:r w:rsidR="00806F82" w:rsidRPr="008B5BFE">
        <w:rPr>
          <w:rFonts w:ascii="Arial" w:eastAsia="Times New Roman" w:hAnsi="Arial" w:cs="Arial"/>
          <w:color w:val="000000" w:themeColor="text1"/>
          <w:lang w:eastAsia="en-AU"/>
        </w:rPr>
        <w:t>’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s ample evidence of the economic benefits that refugees resettled in the Australian community bring</w:t>
      </w:r>
      <w:r w:rsidR="001A0A27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. Importantly,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we wish to </w:t>
      </w:r>
      <w:r w:rsidR="00A72F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highlight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the richness of their contribution to </w:t>
      </w:r>
      <w:r w:rsidR="00806F8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Australia’s </w:t>
      </w:r>
      <w:r w:rsidRPr="008B5BFE">
        <w:rPr>
          <w:rFonts w:ascii="Arial" w:eastAsia="Times New Roman" w:hAnsi="Arial" w:cs="Arial"/>
          <w:color w:val="000000" w:themeColor="text1"/>
          <w:lang w:eastAsia="en-AU"/>
        </w:rPr>
        <w:t>cultural and social life.</w:t>
      </w:r>
      <w:r w:rsidR="00A72F12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 Any review of the current migration system must acknowledge </w:t>
      </w:r>
      <w:r w:rsidR="002A2E19" w:rsidRPr="008B5BFE">
        <w:rPr>
          <w:rFonts w:ascii="Arial" w:eastAsia="Times New Roman" w:hAnsi="Arial" w:cs="Arial"/>
          <w:color w:val="000000" w:themeColor="text1"/>
          <w:lang w:eastAsia="en-AU"/>
        </w:rPr>
        <w:t xml:space="preserve">and address </w:t>
      </w:r>
      <w:r w:rsidR="001A0A27" w:rsidRPr="008B5BFE">
        <w:rPr>
          <w:rFonts w:ascii="Arial" w:eastAsia="Times New Roman" w:hAnsi="Arial" w:cs="Arial"/>
          <w:color w:val="000000" w:themeColor="text1"/>
          <w:lang w:eastAsia="en-AU"/>
        </w:rPr>
        <w:t>the pressing issues facing refugees and asylum seekers in Australia</w:t>
      </w:r>
      <w:r w:rsidR="00806F82" w:rsidRPr="008B5BFE">
        <w:rPr>
          <w:rFonts w:ascii="Arial" w:eastAsia="Times New Roman" w:hAnsi="Arial" w:cs="Arial"/>
          <w:color w:val="000000" w:themeColor="text1"/>
          <w:lang w:eastAsia="en-AU"/>
        </w:rPr>
        <w:t>, PNG, Nauru, and Indonesia.</w:t>
      </w:r>
    </w:p>
    <w:p w14:paraId="1A63B68F" w14:textId="77777777" w:rsidR="00520490" w:rsidRPr="00520490" w:rsidRDefault="00520490" w:rsidP="006B416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7E5F3E99" w14:textId="4095CAE2" w:rsidR="00520490" w:rsidRPr="00520490" w:rsidRDefault="00520490" w:rsidP="006B416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n-AU"/>
        </w:rPr>
      </w:pPr>
      <w:r w:rsidRPr="00520490">
        <w:rPr>
          <w:rFonts w:ascii="Arial" w:eastAsia="Times New Roman" w:hAnsi="Arial" w:cs="Arial"/>
          <w:lang w:eastAsia="en-AU"/>
        </w:rPr>
        <w:t> </w:t>
      </w:r>
      <w:r w:rsidR="002665A0">
        <w:rPr>
          <w:rFonts w:ascii="Arial" w:eastAsia="Times New Roman" w:hAnsi="Arial" w:cs="Arial"/>
          <w:lang w:eastAsia="en-AU"/>
        </w:rPr>
        <w:t xml:space="preserve"> </w:t>
      </w:r>
      <w:r w:rsidR="00E43ECB">
        <w:rPr>
          <w:rFonts w:ascii="Arial" w:eastAsia="Times New Roman" w:hAnsi="Arial" w:cs="Arial"/>
          <w:lang w:eastAsia="en-AU"/>
        </w:rPr>
        <w:t xml:space="preserve"> </w:t>
      </w:r>
      <w:r w:rsidR="006F5519">
        <w:rPr>
          <w:rFonts w:ascii="Arial" w:eastAsia="Times New Roman" w:hAnsi="Arial" w:cs="Arial"/>
          <w:lang w:eastAsia="en-AU"/>
        </w:rPr>
        <w:t xml:space="preserve"> </w:t>
      </w:r>
      <w:r w:rsidR="009434E2">
        <w:rPr>
          <w:rFonts w:ascii="Arial" w:eastAsia="Times New Roman" w:hAnsi="Arial" w:cs="Arial"/>
          <w:lang w:eastAsia="en-AU"/>
        </w:rPr>
        <w:t xml:space="preserve"> </w:t>
      </w:r>
      <w:r w:rsidR="00CF263A">
        <w:rPr>
          <w:rFonts w:ascii="Arial" w:eastAsia="Times New Roman" w:hAnsi="Arial" w:cs="Arial"/>
          <w:lang w:eastAsia="en-AU"/>
        </w:rPr>
        <w:t xml:space="preserve"> </w:t>
      </w:r>
    </w:p>
    <w:sectPr w:rsidR="00520490" w:rsidRPr="00520490" w:rsidSect="00C92381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B09C" w14:textId="77777777" w:rsidR="00F028E6" w:rsidRDefault="00F028E6" w:rsidP="00C92381">
      <w:pPr>
        <w:spacing w:after="0" w:line="240" w:lineRule="auto"/>
      </w:pPr>
      <w:r>
        <w:separator/>
      </w:r>
    </w:p>
  </w:endnote>
  <w:endnote w:type="continuationSeparator" w:id="0">
    <w:p w14:paraId="3F2C57FA" w14:textId="77777777" w:rsidR="00F028E6" w:rsidRDefault="00F028E6" w:rsidP="00C9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869B" w14:textId="77777777" w:rsidR="00F028E6" w:rsidRDefault="00F028E6" w:rsidP="00C92381">
      <w:pPr>
        <w:spacing w:after="0" w:line="240" w:lineRule="auto"/>
      </w:pPr>
      <w:r>
        <w:separator/>
      </w:r>
    </w:p>
  </w:footnote>
  <w:footnote w:type="continuationSeparator" w:id="0">
    <w:p w14:paraId="08BB3FC0" w14:textId="77777777" w:rsidR="00F028E6" w:rsidRDefault="00F028E6" w:rsidP="00C9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402772"/>
      <w:docPartObj>
        <w:docPartGallery w:val="Page Numbers (Top of Page)"/>
        <w:docPartUnique/>
      </w:docPartObj>
    </w:sdtPr>
    <w:sdtContent>
      <w:p w14:paraId="79999A01" w14:textId="25472D8D" w:rsidR="00C92381" w:rsidRDefault="00C9238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6550D" w14:textId="77777777" w:rsidR="00C92381" w:rsidRDefault="00C92381" w:rsidP="00C923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7403307"/>
      <w:docPartObj>
        <w:docPartGallery w:val="Page Numbers (Top of Page)"/>
        <w:docPartUnique/>
      </w:docPartObj>
    </w:sdtPr>
    <w:sdtContent>
      <w:p w14:paraId="5985D032" w14:textId="440054B3" w:rsidR="00C92381" w:rsidRDefault="00C9238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22EA5D" w14:textId="77777777" w:rsidR="00C92381" w:rsidRDefault="00C92381" w:rsidP="00C923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732"/>
    <w:multiLevelType w:val="hybridMultilevel"/>
    <w:tmpl w:val="7CB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163"/>
    <w:multiLevelType w:val="multilevel"/>
    <w:tmpl w:val="71647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26046"/>
    <w:multiLevelType w:val="multilevel"/>
    <w:tmpl w:val="49E2C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773ED"/>
    <w:multiLevelType w:val="multilevel"/>
    <w:tmpl w:val="4DB23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95AA6"/>
    <w:multiLevelType w:val="multilevel"/>
    <w:tmpl w:val="ABB81E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A5C6E"/>
    <w:multiLevelType w:val="hybridMultilevel"/>
    <w:tmpl w:val="00F2AEEE"/>
    <w:lvl w:ilvl="0" w:tplc="42448BE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4AD9"/>
    <w:multiLevelType w:val="hybridMultilevel"/>
    <w:tmpl w:val="573AD7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21171"/>
    <w:multiLevelType w:val="hybridMultilevel"/>
    <w:tmpl w:val="C1765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71E1"/>
    <w:multiLevelType w:val="multilevel"/>
    <w:tmpl w:val="4906CE84"/>
    <w:lvl w:ilvl="0">
      <w:start w:val="1"/>
      <w:numFmt w:val="lowerLetter"/>
      <w:lvlText w:val="(%1)"/>
      <w:lvlJc w:val="left"/>
      <w:pPr>
        <w:ind w:left="567" w:hanging="567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18E6BE3"/>
    <w:multiLevelType w:val="hybridMultilevel"/>
    <w:tmpl w:val="A6208908"/>
    <w:lvl w:ilvl="0" w:tplc="9C24BCA4">
      <w:start w:val="1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C135F"/>
    <w:multiLevelType w:val="multilevel"/>
    <w:tmpl w:val="55C00F3E"/>
    <w:styleLink w:val="CurrentList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125C9"/>
    <w:multiLevelType w:val="hybridMultilevel"/>
    <w:tmpl w:val="965829E2"/>
    <w:lvl w:ilvl="0" w:tplc="7B249B5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131C"/>
    <w:multiLevelType w:val="multilevel"/>
    <w:tmpl w:val="B9D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41126"/>
    <w:multiLevelType w:val="hybridMultilevel"/>
    <w:tmpl w:val="0CB6FC28"/>
    <w:lvl w:ilvl="0" w:tplc="EECCBC44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5CAA"/>
    <w:multiLevelType w:val="multilevel"/>
    <w:tmpl w:val="60FA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E2065"/>
    <w:multiLevelType w:val="hybridMultilevel"/>
    <w:tmpl w:val="3FB2E3D4"/>
    <w:lvl w:ilvl="0" w:tplc="D4B84D5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671FF"/>
    <w:multiLevelType w:val="multilevel"/>
    <w:tmpl w:val="20D04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9380D"/>
    <w:multiLevelType w:val="multilevel"/>
    <w:tmpl w:val="0152F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6106A"/>
    <w:multiLevelType w:val="hybridMultilevel"/>
    <w:tmpl w:val="B4188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582B"/>
    <w:multiLevelType w:val="multilevel"/>
    <w:tmpl w:val="8ACA0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75BC"/>
    <w:multiLevelType w:val="hybridMultilevel"/>
    <w:tmpl w:val="03902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102B1"/>
    <w:multiLevelType w:val="hybridMultilevel"/>
    <w:tmpl w:val="B27E1BDC"/>
    <w:lvl w:ilvl="0" w:tplc="1E805FC6">
      <w:start w:val="500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570805"/>
    <w:multiLevelType w:val="multilevel"/>
    <w:tmpl w:val="C4C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82937"/>
    <w:multiLevelType w:val="hybridMultilevel"/>
    <w:tmpl w:val="BD68DF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B42F6A"/>
    <w:multiLevelType w:val="multilevel"/>
    <w:tmpl w:val="55C00F3E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730FA2"/>
    <w:multiLevelType w:val="hybridMultilevel"/>
    <w:tmpl w:val="F110AF44"/>
    <w:lvl w:ilvl="0" w:tplc="A19EC798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66DD"/>
    <w:multiLevelType w:val="multilevel"/>
    <w:tmpl w:val="61183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22EAF"/>
    <w:multiLevelType w:val="multilevel"/>
    <w:tmpl w:val="55C00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D5AFC"/>
    <w:multiLevelType w:val="hybridMultilevel"/>
    <w:tmpl w:val="38FC9C70"/>
    <w:lvl w:ilvl="0" w:tplc="8954FC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16C78"/>
    <w:multiLevelType w:val="multilevel"/>
    <w:tmpl w:val="FD94C000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12"/>
        </w:tabs>
        <w:ind w:left="1212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6"/>
        </w:tabs>
        <w:ind w:left="1496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780"/>
        </w:tabs>
        <w:ind w:left="178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064"/>
        </w:tabs>
        <w:ind w:left="2064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348"/>
        </w:tabs>
        <w:ind w:left="2348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632"/>
        </w:tabs>
        <w:ind w:left="2632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916"/>
        </w:tabs>
        <w:ind w:left="2916" w:firstLine="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127D7"/>
    <w:multiLevelType w:val="multilevel"/>
    <w:tmpl w:val="53D6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7012C"/>
    <w:multiLevelType w:val="hybridMultilevel"/>
    <w:tmpl w:val="B2FAC32C"/>
    <w:lvl w:ilvl="0" w:tplc="023063E0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1390C"/>
    <w:multiLevelType w:val="multilevel"/>
    <w:tmpl w:val="55C00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94531"/>
    <w:multiLevelType w:val="hybridMultilevel"/>
    <w:tmpl w:val="15723F2E"/>
    <w:lvl w:ilvl="0" w:tplc="3D484A24">
      <w:start w:val="1"/>
      <w:numFmt w:val="decimal"/>
      <w:lvlText w:val="(%1)"/>
      <w:lvlJc w:val="left"/>
      <w:pPr>
        <w:ind w:left="644" w:hanging="360"/>
      </w:pPr>
      <w:rPr>
        <w:rFonts w:ascii="Arial" w:eastAsia="Times New Roman" w:hAnsi="Arial" w:cs="Arial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7520884">
    <w:abstractNumId w:val="29"/>
  </w:num>
  <w:num w:numId="2" w16cid:durableId="226767988">
    <w:abstractNumId w:val="14"/>
  </w:num>
  <w:num w:numId="3" w16cid:durableId="483081258">
    <w:abstractNumId w:val="27"/>
    <w:lvlOverride w:ilvl="0">
      <w:lvl w:ilvl="0">
        <w:numFmt w:val="decimal"/>
        <w:lvlText w:val="%1."/>
        <w:lvlJc w:val="left"/>
      </w:lvl>
    </w:lvlOverride>
  </w:num>
  <w:num w:numId="4" w16cid:durableId="1313439187">
    <w:abstractNumId w:val="12"/>
  </w:num>
  <w:num w:numId="5" w16cid:durableId="1747535320">
    <w:abstractNumId w:val="26"/>
  </w:num>
  <w:num w:numId="6" w16cid:durableId="903294656">
    <w:abstractNumId w:val="26"/>
    <w:lvlOverride w:ilvl="0">
      <w:lvl w:ilvl="0">
        <w:numFmt w:val="decimal"/>
        <w:lvlText w:val="%1."/>
        <w:lvlJc w:val="left"/>
      </w:lvl>
    </w:lvlOverride>
  </w:num>
  <w:num w:numId="7" w16cid:durableId="996156693">
    <w:abstractNumId w:val="30"/>
  </w:num>
  <w:num w:numId="8" w16cid:durableId="412972109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687554947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627668179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638993835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282226734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1724215201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309411066">
    <w:abstractNumId w:val="17"/>
    <w:lvlOverride w:ilvl="0">
      <w:lvl w:ilvl="0">
        <w:numFmt w:val="decimal"/>
        <w:lvlText w:val="%1."/>
        <w:lvlJc w:val="left"/>
      </w:lvl>
    </w:lvlOverride>
  </w:num>
  <w:num w:numId="15" w16cid:durableId="1212764404">
    <w:abstractNumId w:val="22"/>
  </w:num>
  <w:num w:numId="16" w16cid:durableId="1427194926">
    <w:abstractNumId w:val="20"/>
  </w:num>
  <w:num w:numId="17" w16cid:durableId="1257208000">
    <w:abstractNumId w:val="13"/>
  </w:num>
  <w:num w:numId="18" w16cid:durableId="1708604219">
    <w:abstractNumId w:val="10"/>
  </w:num>
  <w:num w:numId="19" w16cid:durableId="52503966">
    <w:abstractNumId w:val="24"/>
  </w:num>
  <w:num w:numId="20" w16cid:durableId="1051613439">
    <w:abstractNumId w:val="32"/>
  </w:num>
  <w:num w:numId="21" w16cid:durableId="139618378">
    <w:abstractNumId w:val="8"/>
  </w:num>
  <w:num w:numId="22" w16cid:durableId="1853061486">
    <w:abstractNumId w:val="28"/>
  </w:num>
  <w:num w:numId="23" w16cid:durableId="670641730">
    <w:abstractNumId w:val="25"/>
  </w:num>
  <w:num w:numId="24" w16cid:durableId="27335901">
    <w:abstractNumId w:val="0"/>
  </w:num>
  <w:num w:numId="25" w16cid:durableId="10255559">
    <w:abstractNumId w:val="18"/>
  </w:num>
  <w:num w:numId="26" w16cid:durableId="159320012">
    <w:abstractNumId w:val="9"/>
  </w:num>
  <w:num w:numId="27" w16cid:durableId="933973577">
    <w:abstractNumId w:val="6"/>
  </w:num>
  <w:num w:numId="28" w16cid:durableId="399405070">
    <w:abstractNumId w:val="7"/>
  </w:num>
  <w:num w:numId="29" w16cid:durableId="1366321760">
    <w:abstractNumId w:val="15"/>
  </w:num>
  <w:num w:numId="30" w16cid:durableId="833691936">
    <w:abstractNumId w:val="5"/>
  </w:num>
  <w:num w:numId="31" w16cid:durableId="980185573">
    <w:abstractNumId w:val="11"/>
  </w:num>
  <w:num w:numId="32" w16cid:durableId="1966964260">
    <w:abstractNumId w:val="31"/>
  </w:num>
  <w:num w:numId="33" w16cid:durableId="385883383">
    <w:abstractNumId w:val="33"/>
  </w:num>
  <w:num w:numId="34" w16cid:durableId="73167406">
    <w:abstractNumId w:val="21"/>
  </w:num>
  <w:num w:numId="35" w16cid:durableId="15706568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0"/>
    <w:rsid w:val="0001438E"/>
    <w:rsid w:val="00031055"/>
    <w:rsid w:val="00042759"/>
    <w:rsid w:val="00056AC3"/>
    <w:rsid w:val="000A5AF6"/>
    <w:rsid w:val="000B62FF"/>
    <w:rsid w:val="000B6CAA"/>
    <w:rsid w:val="000D7949"/>
    <w:rsid w:val="000E30C9"/>
    <w:rsid w:val="000E3F07"/>
    <w:rsid w:val="001130F4"/>
    <w:rsid w:val="00120CB3"/>
    <w:rsid w:val="00123788"/>
    <w:rsid w:val="0016011B"/>
    <w:rsid w:val="001722FB"/>
    <w:rsid w:val="00196E3F"/>
    <w:rsid w:val="001A0A27"/>
    <w:rsid w:val="001C33EF"/>
    <w:rsid w:val="001D07AD"/>
    <w:rsid w:val="002208A4"/>
    <w:rsid w:val="00236E4F"/>
    <w:rsid w:val="00241CF5"/>
    <w:rsid w:val="0025375F"/>
    <w:rsid w:val="002665A0"/>
    <w:rsid w:val="00285514"/>
    <w:rsid w:val="00290C1C"/>
    <w:rsid w:val="002A2E19"/>
    <w:rsid w:val="002C2AEA"/>
    <w:rsid w:val="002D5ABE"/>
    <w:rsid w:val="002F405C"/>
    <w:rsid w:val="00303302"/>
    <w:rsid w:val="00312455"/>
    <w:rsid w:val="00313096"/>
    <w:rsid w:val="00366D4C"/>
    <w:rsid w:val="00376D28"/>
    <w:rsid w:val="00395636"/>
    <w:rsid w:val="003A7E08"/>
    <w:rsid w:val="003B6558"/>
    <w:rsid w:val="003D500C"/>
    <w:rsid w:val="00407ACF"/>
    <w:rsid w:val="004317EA"/>
    <w:rsid w:val="00433188"/>
    <w:rsid w:val="00436226"/>
    <w:rsid w:val="00461C31"/>
    <w:rsid w:val="004772A3"/>
    <w:rsid w:val="00485ED0"/>
    <w:rsid w:val="0049321C"/>
    <w:rsid w:val="00497F84"/>
    <w:rsid w:val="004A7157"/>
    <w:rsid w:val="004B2D9E"/>
    <w:rsid w:val="004C7630"/>
    <w:rsid w:val="004E1D07"/>
    <w:rsid w:val="004E55C5"/>
    <w:rsid w:val="00501322"/>
    <w:rsid w:val="005168A2"/>
    <w:rsid w:val="00520490"/>
    <w:rsid w:val="00522FB8"/>
    <w:rsid w:val="0053308E"/>
    <w:rsid w:val="00555318"/>
    <w:rsid w:val="00560F03"/>
    <w:rsid w:val="0056340F"/>
    <w:rsid w:val="00565D48"/>
    <w:rsid w:val="00580DEF"/>
    <w:rsid w:val="00585493"/>
    <w:rsid w:val="005A12B6"/>
    <w:rsid w:val="005B0E5E"/>
    <w:rsid w:val="005B34C0"/>
    <w:rsid w:val="005B6CC0"/>
    <w:rsid w:val="005B7750"/>
    <w:rsid w:val="005C62FB"/>
    <w:rsid w:val="005E7456"/>
    <w:rsid w:val="00681564"/>
    <w:rsid w:val="006B416D"/>
    <w:rsid w:val="006C533C"/>
    <w:rsid w:val="006F5519"/>
    <w:rsid w:val="0072547F"/>
    <w:rsid w:val="007268B8"/>
    <w:rsid w:val="00735783"/>
    <w:rsid w:val="00743294"/>
    <w:rsid w:val="00784401"/>
    <w:rsid w:val="0079488B"/>
    <w:rsid w:val="00795EF9"/>
    <w:rsid w:val="007D6430"/>
    <w:rsid w:val="007E2657"/>
    <w:rsid w:val="00806F82"/>
    <w:rsid w:val="008111F8"/>
    <w:rsid w:val="00821CE4"/>
    <w:rsid w:val="008371FC"/>
    <w:rsid w:val="00854B12"/>
    <w:rsid w:val="00872A6C"/>
    <w:rsid w:val="00875867"/>
    <w:rsid w:val="008B5BFE"/>
    <w:rsid w:val="009162D5"/>
    <w:rsid w:val="00941EED"/>
    <w:rsid w:val="009434E2"/>
    <w:rsid w:val="009B30E7"/>
    <w:rsid w:val="009B4469"/>
    <w:rsid w:val="009C5F6D"/>
    <w:rsid w:val="009E44D5"/>
    <w:rsid w:val="009F2D47"/>
    <w:rsid w:val="00A52104"/>
    <w:rsid w:val="00A72F12"/>
    <w:rsid w:val="00A830D4"/>
    <w:rsid w:val="00A8576E"/>
    <w:rsid w:val="00AB4DED"/>
    <w:rsid w:val="00AB5A9E"/>
    <w:rsid w:val="00AC7EFA"/>
    <w:rsid w:val="00AF2E5F"/>
    <w:rsid w:val="00B13C4B"/>
    <w:rsid w:val="00B22A2A"/>
    <w:rsid w:val="00B73463"/>
    <w:rsid w:val="00B842EE"/>
    <w:rsid w:val="00C02215"/>
    <w:rsid w:val="00C230B3"/>
    <w:rsid w:val="00C3027F"/>
    <w:rsid w:val="00C43AA0"/>
    <w:rsid w:val="00C67EE1"/>
    <w:rsid w:val="00C92381"/>
    <w:rsid w:val="00C9269C"/>
    <w:rsid w:val="00CF263A"/>
    <w:rsid w:val="00CF5F12"/>
    <w:rsid w:val="00D105C2"/>
    <w:rsid w:val="00D82901"/>
    <w:rsid w:val="00D9612C"/>
    <w:rsid w:val="00DA09D3"/>
    <w:rsid w:val="00DB3345"/>
    <w:rsid w:val="00DB4697"/>
    <w:rsid w:val="00E031DA"/>
    <w:rsid w:val="00E034E7"/>
    <w:rsid w:val="00E1401C"/>
    <w:rsid w:val="00E15B64"/>
    <w:rsid w:val="00E17F17"/>
    <w:rsid w:val="00E360A9"/>
    <w:rsid w:val="00E3629C"/>
    <w:rsid w:val="00E43ECB"/>
    <w:rsid w:val="00E447B3"/>
    <w:rsid w:val="00E60F1E"/>
    <w:rsid w:val="00E65B18"/>
    <w:rsid w:val="00E70112"/>
    <w:rsid w:val="00E733A3"/>
    <w:rsid w:val="00E805CA"/>
    <w:rsid w:val="00EA225A"/>
    <w:rsid w:val="00EA56E4"/>
    <w:rsid w:val="00EB3BD2"/>
    <w:rsid w:val="00ED631E"/>
    <w:rsid w:val="00EE1E5D"/>
    <w:rsid w:val="00EE62D5"/>
    <w:rsid w:val="00F028E6"/>
    <w:rsid w:val="00F0615E"/>
    <w:rsid w:val="00F178B3"/>
    <w:rsid w:val="00F26B08"/>
    <w:rsid w:val="00F3546B"/>
    <w:rsid w:val="00F42A37"/>
    <w:rsid w:val="00F53CED"/>
    <w:rsid w:val="00FB3BE6"/>
    <w:rsid w:val="00FC3B91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923A"/>
  <w15:docId w15:val="{D6CCCFEF-9499-B148-9EF7-3FC1427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5ABE"/>
    <w:pPr>
      <w:ind w:left="720"/>
      <w:contextualSpacing/>
    </w:pPr>
  </w:style>
  <w:style w:type="numbering" w:customStyle="1" w:styleId="CurrentList1">
    <w:name w:val="Current List1"/>
    <w:uiPriority w:val="99"/>
    <w:rsid w:val="00AB4DED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C9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381"/>
  </w:style>
  <w:style w:type="character" w:styleId="PageNumber">
    <w:name w:val="page number"/>
    <w:basedOn w:val="DefaultParagraphFont"/>
    <w:uiPriority w:val="99"/>
    <w:semiHidden/>
    <w:unhideWhenUsed/>
    <w:rsid w:val="00C9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</dc:creator>
  <cp:keywords/>
  <dc:description/>
  <cp:lastModifiedBy>Max Costello</cp:lastModifiedBy>
  <cp:revision>3</cp:revision>
  <cp:lastPrinted>2022-12-13T02:22:00Z</cp:lastPrinted>
  <dcterms:created xsi:type="dcterms:W3CDTF">2022-12-12T20:11:00Z</dcterms:created>
  <dcterms:modified xsi:type="dcterms:W3CDTF">2022-12-18T02:06:00Z</dcterms:modified>
</cp:coreProperties>
</file>